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454D4">
      <w:pPr>
        <w:pStyle w:val="5"/>
        <w:spacing w:line="920" w:lineRule="exact"/>
        <w:jc w:val="center"/>
        <w:rPr>
          <w:rFonts w:ascii="黑体" w:hAnsi="黑体" w:eastAsia="黑体" w:cs="黑体"/>
          <w:b/>
          <w:sz w:val="44"/>
          <w:szCs w:val="44"/>
        </w:rPr>
      </w:pPr>
    </w:p>
    <w:p w14:paraId="561DF657">
      <w:pPr>
        <w:pStyle w:val="5"/>
        <w:spacing w:line="920" w:lineRule="exact"/>
        <w:jc w:val="center"/>
        <w:rPr>
          <w:rFonts w:hAnsi="宋体"/>
          <w:b/>
          <w:sz w:val="44"/>
          <w:szCs w:val="44"/>
        </w:rPr>
      </w:pPr>
      <w:r>
        <w:rPr>
          <w:rFonts w:hint="eastAsia" w:hAnsi="宋体"/>
          <w:b/>
          <w:sz w:val="44"/>
          <w:szCs w:val="44"/>
        </w:rPr>
        <w:t>广柴股份本部2026年生产物资运输项目</w:t>
      </w:r>
    </w:p>
    <w:p w14:paraId="431EC612">
      <w:pPr>
        <w:pStyle w:val="5"/>
        <w:spacing w:line="920" w:lineRule="exact"/>
        <w:jc w:val="center"/>
        <w:rPr>
          <w:rFonts w:hAnsi="宋体"/>
          <w:b/>
          <w:sz w:val="44"/>
          <w:szCs w:val="44"/>
        </w:rPr>
      </w:pPr>
      <w:r>
        <w:rPr>
          <w:rFonts w:hint="eastAsia" w:hAnsi="宋体"/>
          <w:b/>
          <w:sz w:val="44"/>
          <w:szCs w:val="44"/>
        </w:rPr>
        <w:t>第二次公开招标</w:t>
      </w:r>
    </w:p>
    <w:p w14:paraId="27D66A3D">
      <w:pPr>
        <w:rPr>
          <w:rFonts w:ascii="宋体" w:hAnsi="宋体"/>
          <w:b/>
          <w:sz w:val="28"/>
          <w:szCs w:val="28"/>
        </w:rPr>
      </w:pPr>
    </w:p>
    <w:p w14:paraId="514DDF38">
      <w:pPr>
        <w:rPr>
          <w:rFonts w:ascii="宋体" w:hAnsi="宋体"/>
          <w:b/>
          <w:sz w:val="28"/>
          <w:szCs w:val="28"/>
        </w:rPr>
      </w:pPr>
    </w:p>
    <w:p w14:paraId="1600DD4D">
      <w:pPr>
        <w:rPr>
          <w:rFonts w:ascii="宋体" w:hAnsi="宋体"/>
          <w:b/>
          <w:sz w:val="28"/>
          <w:szCs w:val="28"/>
        </w:rPr>
      </w:pPr>
    </w:p>
    <w:p w14:paraId="555AC60C">
      <w:pPr>
        <w:rPr>
          <w:rFonts w:ascii="宋体" w:hAnsi="宋体"/>
          <w:b/>
          <w:sz w:val="28"/>
          <w:szCs w:val="28"/>
        </w:rPr>
      </w:pPr>
    </w:p>
    <w:p w14:paraId="6513FC32">
      <w:pPr>
        <w:pStyle w:val="5"/>
        <w:spacing w:line="360" w:lineRule="auto"/>
        <w:jc w:val="center"/>
        <w:rPr>
          <w:rFonts w:hAnsi="宋体"/>
          <w:b/>
          <w:sz w:val="120"/>
          <w:szCs w:val="120"/>
        </w:rPr>
      </w:pPr>
      <w:r>
        <w:rPr>
          <w:rFonts w:hint="eastAsia" w:hAnsi="宋体"/>
          <w:b/>
          <w:sz w:val="120"/>
          <w:szCs w:val="120"/>
        </w:rPr>
        <w:t>招标文件</w:t>
      </w:r>
    </w:p>
    <w:p w14:paraId="6B4380CD">
      <w:pPr>
        <w:spacing w:line="400" w:lineRule="exact"/>
        <w:rPr>
          <w:rFonts w:ascii="宋体" w:hAnsi="宋体"/>
          <w:b/>
          <w:sz w:val="30"/>
          <w:szCs w:val="30"/>
        </w:rPr>
      </w:pPr>
    </w:p>
    <w:p w14:paraId="2F1D50C3">
      <w:pPr>
        <w:spacing w:line="600" w:lineRule="exact"/>
        <w:ind w:firstLine="1988" w:firstLineChars="660"/>
        <w:rPr>
          <w:rFonts w:ascii="宋体" w:hAnsi="宋体"/>
          <w:b/>
          <w:sz w:val="30"/>
          <w:szCs w:val="30"/>
        </w:rPr>
      </w:pPr>
    </w:p>
    <w:p w14:paraId="13C48BBA">
      <w:pPr>
        <w:spacing w:line="600" w:lineRule="exact"/>
        <w:ind w:firstLine="1988" w:firstLineChars="660"/>
        <w:rPr>
          <w:rFonts w:ascii="宋体" w:hAnsi="宋体"/>
          <w:b/>
          <w:sz w:val="30"/>
          <w:szCs w:val="30"/>
        </w:rPr>
      </w:pPr>
    </w:p>
    <w:p w14:paraId="484B176D">
      <w:pPr>
        <w:spacing w:line="600" w:lineRule="exact"/>
        <w:ind w:firstLine="1988" w:firstLineChars="660"/>
        <w:rPr>
          <w:rFonts w:ascii="宋体" w:hAnsi="宋体"/>
          <w:b/>
          <w:sz w:val="30"/>
          <w:szCs w:val="30"/>
        </w:rPr>
      </w:pPr>
    </w:p>
    <w:p w14:paraId="7E41E216">
      <w:pPr>
        <w:spacing w:line="600" w:lineRule="exact"/>
        <w:ind w:firstLine="1988" w:firstLineChars="660"/>
        <w:rPr>
          <w:rFonts w:ascii="宋体" w:hAnsi="宋体"/>
          <w:b/>
          <w:sz w:val="30"/>
          <w:szCs w:val="30"/>
        </w:rPr>
      </w:pPr>
    </w:p>
    <w:p w14:paraId="2459A2E9">
      <w:pPr>
        <w:spacing w:line="600" w:lineRule="exact"/>
        <w:jc w:val="center"/>
        <w:rPr>
          <w:rFonts w:ascii="宋体" w:hAnsi="宋体"/>
          <w:b/>
          <w:sz w:val="36"/>
          <w:szCs w:val="36"/>
        </w:rPr>
      </w:pPr>
    </w:p>
    <w:p w14:paraId="59B4CBAB">
      <w:pPr>
        <w:spacing w:line="600" w:lineRule="exact"/>
        <w:jc w:val="center"/>
        <w:rPr>
          <w:rFonts w:ascii="宋体" w:hAnsi="宋体"/>
          <w:b/>
          <w:sz w:val="36"/>
          <w:szCs w:val="36"/>
        </w:rPr>
      </w:pPr>
    </w:p>
    <w:p w14:paraId="01E3BEF6">
      <w:pPr>
        <w:spacing w:line="600" w:lineRule="exact"/>
        <w:jc w:val="center"/>
        <w:rPr>
          <w:rFonts w:ascii="宋体" w:hAnsi="宋体"/>
          <w:b/>
          <w:sz w:val="36"/>
          <w:szCs w:val="36"/>
        </w:rPr>
      </w:pPr>
    </w:p>
    <w:p w14:paraId="3479350A">
      <w:pPr>
        <w:spacing w:line="600" w:lineRule="exact"/>
        <w:jc w:val="center"/>
        <w:rPr>
          <w:rFonts w:ascii="宋体" w:hAnsi="宋体"/>
          <w:b/>
          <w:sz w:val="36"/>
          <w:szCs w:val="36"/>
        </w:rPr>
      </w:pPr>
    </w:p>
    <w:p w14:paraId="7D48EEB9">
      <w:pPr>
        <w:spacing w:line="600" w:lineRule="exact"/>
        <w:jc w:val="center"/>
        <w:rPr>
          <w:rFonts w:ascii="宋体" w:hAnsi="宋体"/>
          <w:b/>
          <w:sz w:val="36"/>
          <w:szCs w:val="36"/>
        </w:rPr>
      </w:pPr>
      <w:r>
        <w:rPr>
          <w:rFonts w:hint="eastAsia" w:ascii="宋体" w:hAnsi="宋体"/>
          <w:b/>
          <w:sz w:val="36"/>
          <w:szCs w:val="36"/>
        </w:rPr>
        <w:t>招标人：</w:t>
      </w:r>
      <w:r>
        <w:rPr>
          <w:rFonts w:ascii="宋体" w:hAnsi="宋体"/>
          <w:b/>
          <w:sz w:val="36"/>
          <w:szCs w:val="36"/>
        </w:rPr>
        <w:t>广州柴油机厂股份有限公司</w:t>
      </w:r>
    </w:p>
    <w:p w14:paraId="52DED53D">
      <w:pPr>
        <w:spacing w:line="600" w:lineRule="exact"/>
        <w:jc w:val="center"/>
        <w:rPr>
          <w:rFonts w:ascii="宋体" w:hAnsi="宋体"/>
          <w:b/>
          <w:sz w:val="36"/>
          <w:szCs w:val="36"/>
        </w:rPr>
      </w:pPr>
      <w:r>
        <w:rPr>
          <w:rFonts w:hint="eastAsia" w:ascii="宋体" w:hAnsi="宋体"/>
          <w:b/>
          <w:sz w:val="36"/>
          <w:szCs w:val="36"/>
        </w:rPr>
        <w:t>2026年1月</w:t>
      </w:r>
    </w:p>
    <w:p w14:paraId="1AB9A56C">
      <w:pPr>
        <w:widowControl/>
        <w:spacing w:line="360" w:lineRule="atLeast"/>
        <w:jc w:val="left"/>
        <w:rPr>
          <w:rFonts w:ascii="宋体" w:hAnsi="宋体" w:eastAsia="宋体" w:cs="宋体"/>
          <w:kern w:val="0"/>
          <w:sz w:val="24"/>
          <w:szCs w:val="24"/>
        </w:rPr>
      </w:pPr>
    </w:p>
    <w:p w14:paraId="72EECAE2">
      <w:pPr>
        <w:widowControl/>
        <w:spacing w:line="360" w:lineRule="atLeast"/>
        <w:jc w:val="left"/>
        <w:rPr>
          <w:rFonts w:ascii="宋体" w:hAnsi="宋体" w:eastAsia="宋体" w:cs="宋体"/>
          <w:kern w:val="0"/>
          <w:sz w:val="24"/>
          <w:szCs w:val="24"/>
        </w:rPr>
      </w:pPr>
    </w:p>
    <w:p w14:paraId="0BC50F37">
      <w:pPr>
        <w:spacing w:line="440" w:lineRule="exact"/>
        <w:jc w:val="center"/>
        <w:rPr>
          <w:rFonts w:ascii="黑体" w:hAnsi="黑体" w:eastAsia="黑体" w:cs="黑体"/>
          <w:b/>
          <w:sz w:val="44"/>
          <w:szCs w:val="44"/>
        </w:rPr>
        <w:sectPr>
          <w:pgSz w:w="11906" w:h="16838"/>
          <w:pgMar w:top="1440" w:right="1247" w:bottom="1440" w:left="1247" w:header="851" w:footer="992" w:gutter="0"/>
          <w:pgNumType w:start="1"/>
          <w:cols w:space="425" w:num="1"/>
          <w:titlePg/>
          <w:docGrid w:type="lines" w:linePitch="312" w:charSpace="0"/>
        </w:sectPr>
      </w:pPr>
    </w:p>
    <w:p w14:paraId="0EE61771">
      <w:pPr>
        <w:spacing w:line="440" w:lineRule="exact"/>
        <w:jc w:val="center"/>
        <w:rPr>
          <w:rFonts w:ascii="黑体" w:hAnsi="黑体" w:eastAsia="黑体" w:cs="黑体"/>
          <w:b/>
          <w:sz w:val="44"/>
          <w:szCs w:val="44"/>
        </w:rPr>
      </w:pPr>
      <w:r>
        <w:rPr>
          <w:rFonts w:hint="eastAsia" w:ascii="黑体" w:hAnsi="黑体" w:eastAsia="黑体" w:cs="黑体"/>
          <w:b/>
          <w:sz w:val="44"/>
          <w:szCs w:val="44"/>
        </w:rPr>
        <w:t>广柴股份本部2026年生产物资运输项目招标公告</w:t>
      </w:r>
    </w:p>
    <w:p w14:paraId="34BDD3A6">
      <w:pPr>
        <w:widowControl/>
        <w:spacing w:line="480" w:lineRule="auto"/>
        <w:jc w:val="right"/>
        <w:rPr>
          <w:rFonts w:ascii="宋体" w:cs="宋体"/>
          <w:color w:val="000000" w:themeColor="text1"/>
          <w:kern w:val="0"/>
          <w:sz w:val="24"/>
          <w:szCs w:val="24"/>
        </w:rPr>
      </w:pPr>
      <w:r>
        <w:rPr>
          <w:rFonts w:hint="eastAsia" w:ascii="宋体" w:hAnsi="宋体" w:cs="宋体"/>
          <w:color w:val="000000" w:themeColor="text1"/>
          <w:kern w:val="0"/>
          <w:sz w:val="24"/>
          <w:szCs w:val="24"/>
        </w:rPr>
        <w:t>GCGF-YYB-CGZB01A-2025</w:t>
      </w:r>
    </w:p>
    <w:p w14:paraId="51E78217">
      <w:pPr>
        <w:spacing w:line="360" w:lineRule="auto"/>
        <w:ind w:firstLine="480" w:firstLineChars="200"/>
        <w:rPr>
          <w:color w:val="000000" w:themeColor="text1"/>
          <w:sz w:val="24"/>
        </w:rPr>
      </w:pPr>
      <w:r>
        <w:rPr>
          <w:rFonts w:hint="eastAsia" w:ascii="宋体" w:hAnsi="宋体" w:cs="宋体"/>
          <w:color w:val="000000" w:themeColor="text1"/>
          <w:sz w:val="24"/>
        </w:rPr>
        <w:t>本公司因业务需要，需通过招标方式采购产品运</w:t>
      </w:r>
      <w:r>
        <w:rPr>
          <w:rFonts w:hint="eastAsia" w:ascii="宋体" w:hAnsi="宋体" w:cs="宋体"/>
          <w:color w:val="000000" w:themeColor="text1"/>
          <w:kern w:val="0"/>
          <w:sz w:val="24"/>
          <w:szCs w:val="24"/>
        </w:rPr>
        <w:t>输服务，</w:t>
      </w:r>
      <w:r>
        <w:rPr>
          <w:rFonts w:hint="eastAsia"/>
          <w:color w:val="000000" w:themeColor="text1"/>
          <w:sz w:val="24"/>
        </w:rPr>
        <w:t>欢迎符合资格条件的投标人投标。</w:t>
      </w:r>
    </w:p>
    <w:p w14:paraId="5CEA2FE1">
      <w:pPr>
        <w:pStyle w:val="32"/>
        <w:widowControl/>
        <w:spacing w:line="360" w:lineRule="auto"/>
        <w:ind w:firstLine="0" w:firstLineChars="0"/>
        <w:jc w:val="left"/>
        <w:rPr>
          <w:rFonts w:ascii="宋体" w:cs="宋体"/>
          <w:b/>
          <w:color w:val="000000" w:themeColor="text1"/>
          <w:kern w:val="0"/>
          <w:sz w:val="24"/>
          <w:szCs w:val="24"/>
        </w:rPr>
      </w:pPr>
      <w:r>
        <w:rPr>
          <w:rFonts w:hint="eastAsia" w:ascii="宋体" w:hAnsi="宋体" w:cs="宋体"/>
          <w:b/>
          <w:color w:val="000000" w:themeColor="text1"/>
          <w:kern w:val="0"/>
          <w:sz w:val="24"/>
          <w:szCs w:val="24"/>
        </w:rPr>
        <w:t>一. 项目概况</w:t>
      </w:r>
    </w:p>
    <w:p w14:paraId="66350F18">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我公司是华南地区最大的船用柴油发动机生产企业，产品有各款中、低速柴油机,其广泛应用于各种船舶，可用作船舶主推进带螺旋桨，主推进发电机组，辅助发电机组，以及驱动各种工程设备。公司产品装配所需的部分生产类物资，</w:t>
      </w:r>
      <w:r>
        <w:rPr>
          <w:rFonts w:hint="eastAsia" w:ascii="宋体" w:hAnsi="宋体" w:cs="宋体"/>
          <w:kern w:val="0"/>
          <w:sz w:val="24"/>
          <w:szCs w:val="24"/>
        </w:rPr>
        <w:t>计划通过本次公开招标，选取</w:t>
      </w:r>
      <w:r>
        <w:rPr>
          <w:rFonts w:ascii="宋体" w:hAnsi="宋体" w:cs="宋体"/>
          <w:kern w:val="0"/>
          <w:sz w:val="24"/>
          <w:szCs w:val="24"/>
        </w:rPr>
        <w:t>3家</w:t>
      </w:r>
      <w:r>
        <w:rPr>
          <w:rFonts w:hint="eastAsia" w:ascii="宋体" w:hAnsi="宋体" w:cs="宋体"/>
          <w:kern w:val="0"/>
          <w:sz w:val="24"/>
          <w:szCs w:val="24"/>
        </w:rPr>
        <w:t>运输公司，</w:t>
      </w:r>
      <w:r>
        <w:rPr>
          <w:rFonts w:hint="eastAsia" w:ascii="宋体" w:hAnsi="宋体" w:eastAsia="宋体" w:cs="宋体"/>
          <w:kern w:val="0"/>
          <w:sz w:val="24"/>
          <w:szCs w:val="24"/>
        </w:rPr>
        <w:t>按均衡分配方式的原则，承担其在服务期内的</w:t>
      </w:r>
      <w:r>
        <w:rPr>
          <w:rFonts w:ascii="宋体" w:hAnsi="宋体" w:eastAsia="宋体" w:cs="宋体"/>
          <w:kern w:val="0"/>
          <w:sz w:val="24"/>
          <w:szCs w:val="24"/>
        </w:rPr>
        <w:t>运输服务</w:t>
      </w:r>
      <w:r>
        <w:rPr>
          <w:rFonts w:hint="eastAsia" w:ascii="宋体" w:hAnsi="宋体" w:cs="宋体"/>
          <w:kern w:val="0"/>
          <w:sz w:val="24"/>
          <w:szCs w:val="24"/>
        </w:rPr>
        <w:t>。</w:t>
      </w:r>
    </w:p>
    <w:p w14:paraId="5AD75939">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本项目运输服务内容包含以下2部分：</w:t>
      </w:r>
    </w:p>
    <w:p w14:paraId="219B987A">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1、广柴股份本部（地址：广州市荔湾区芳村大道东73号）与南沙大岗生产基地（地址：广州市南沙区大岗镇谭新公路362号）往返的物资（包括已入仓的机加工成品件、成品柴油机、已采购入仓的柴油机生产类物资、已采购入仓的非生产类物资等）。</w:t>
      </w:r>
    </w:p>
    <w:p w14:paraId="0E281526">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2、广柴股份本部与靖江分公司（地址：江苏省泰州市靖江市经济技术开发区六助港路9号）来往的物资（包括但不限于低速机零/部件等）。</w:t>
      </w:r>
    </w:p>
    <w:p w14:paraId="1C129DA5">
      <w:pPr>
        <w:pStyle w:val="32"/>
        <w:widowControl/>
        <w:spacing w:line="360" w:lineRule="auto"/>
        <w:ind w:firstLine="0" w:firstLineChars="0"/>
        <w:jc w:val="left"/>
        <w:rPr>
          <w:rFonts w:ascii="宋体" w:hAnsi="宋体" w:cs="宋体"/>
          <w:b/>
          <w:color w:val="000000" w:themeColor="text1"/>
          <w:kern w:val="0"/>
          <w:sz w:val="24"/>
          <w:szCs w:val="24"/>
        </w:rPr>
      </w:pPr>
      <w:r>
        <w:rPr>
          <w:rFonts w:hint="eastAsia" w:ascii="宋体" w:hAnsi="宋体" w:cs="宋体"/>
          <w:b/>
          <w:color w:val="000000" w:themeColor="text1"/>
          <w:kern w:val="0"/>
          <w:sz w:val="24"/>
          <w:szCs w:val="24"/>
        </w:rPr>
        <w:t>二. 项目招标基本信息：</w:t>
      </w:r>
    </w:p>
    <w:p w14:paraId="315C7B06">
      <w:pPr>
        <w:spacing w:line="360" w:lineRule="auto"/>
        <w:ind w:firstLine="482" w:firstLineChars="200"/>
        <w:rPr>
          <w:rFonts w:ascii="宋体" w:hAnsi="宋体" w:cs="宋体"/>
          <w:color w:val="000000" w:themeColor="text1"/>
          <w:kern w:val="0"/>
          <w:sz w:val="24"/>
          <w:szCs w:val="24"/>
        </w:rPr>
      </w:pPr>
      <w:r>
        <w:rPr>
          <w:rFonts w:hint="eastAsia" w:ascii="宋体" w:hAnsi="宋体" w:cs="宋体"/>
          <w:b/>
          <w:bCs/>
          <w:color w:val="000000" w:themeColor="text1"/>
          <w:kern w:val="0"/>
          <w:sz w:val="24"/>
          <w:szCs w:val="24"/>
        </w:rPr>
        <w:t>1、招标项目名称:</w:t>
      </w:r>
      <w:r>
        <w:rPr>
          <w:rFonts w:hint="eastAsia" w:ascii="宋体" w:hAnsi="宋体" w:cs="宋体"/>
          <w:color w:val="000000" w:themeColor="text1"/>
          <w:kern w:val="0"/>
          <w:sz w:val="24"/>
          <w:szCs w:val="24"/>
        </w:rPr>
        <w:t>广柴股份本部2026年生产物资运输项目</w:t>
      </w:r>
    </w:p>
    <w:p w14:paraId="20A209F9">
      <w:pPr>
        <w:spacing w:line="360" w:lineRule="auto"/>
        <w:ind w:firstLine="482" w:firstLineChars="200"/>
        <w:rPr>
          <w:rFonts w:ascii="宋体" w:hAnsi="宋体" w:cs="宋体"/>
          <w:color w:val="000000" w:themeColor="text1"/>
          <w:kern w:val="0"/>
          <w:sz w:val="24"/>
          <w:szCs w:val="24"/>
        </w:rPr>
      </w:pPr>
      <w:r>
        <w:rPr>
          <w:rFonts w:hint="eastAsia" w:ascii="宋体" w:hAnsi="宋体" w:cs="宋体"/>
          <w:b/>
          <w:bCs/>
          <w:color w:val="000000" w:themeColor="text1"/>
          <w:kern w:val="0"/>
          <w:sz w:val="24"/>
          <w:szCs w:val="24"/>
        </w:rPr>
        <w:t>2、项目服务期：</w:t>
      </w:r>
      <w:r>
        <w:rPr>
          <w:rFonts w:hint="eastAsia" w:ascii="宋体" w:hAnsi="宋体" w:cs="宋体"/>
          <w:color w:val="000000" w:themeColor="text1"/>
          <w:kern w:val="0"/>
          <w:sz w:val="24"/>
          <w:szCs w:val="24"/>
        </w:rPr>
        <w:t>12个月</w:t>
      </w:r>
    </w:p>
    <w:p w14:paraId="34017842">
      <w:pPr>
        <w:spacing w:line="360" w:lineRule="auto"/>
        <w:ind w:firstLine="482" w:firstLineChars="200"/>
        <w:rPr>
          <w:rFonts w:ascii="宋体" w:hAnsi="宋体" w:cs="宋体"/>
          <w:color w:val="000000" w:themeColor="text1"/>
          <w:kern w:val="0"/>
          <w:sz w:val="24"/>
          <w:szCs w:val="24"/>
        </w:rPr>
      </w:pPr>
      <w:r>
        <w:rPr>
          <w:rFonts w:hint="eastAsia" w:ascii="宋体" w:hAnsi="宋体" w:cs="宋体"/>
          <w:b/>
          <w:bCs/>
          <w:color w:val="000000" w:themeColor="text1"/>
          <w:kern w:val="0"/>
          <w:sz w:val="24"/>
          <w:szCs w:val="24"/>
        </w:rPr>
        <w:t>3、招标编号：</w:t>
      </w:r>
      <w:r>
        <w:rPr>
          <w:rFonts w:hint="eastAsia" w:ascii="宋体" w:hAnsi="宋体" w:cs="宋体"/>
          <w:color w:val="000000" w:themeColor="text1"/>
          <w:kern w:val="0"/>
          <w:sz w:val="24"/>
          <w:szCs w:val="24"/>
        </w:rPr>
        <w:t>GCGF-YYB-CGZB01-2025</w:t>
      </w:r>
    </w:p>
    <w:p w14:paraId="64158E58">
      <w:pPr>
        <w:spacing w:line="360" w:lineRule="auto"/>
        <w:ind w:firstLine="482" w:firstLineChars="200"/>
        <w:rPr>
          <w:rFonts w:ascii="宋体" w:hAnsi="宋体" w:cs="宋体"/>
          <w:color w:val="000000" w:themeColor="text1"/>
          <w:kern w:val="0"/>
          <w:sz w:val="24"/>
          <w:szCs w:val="24"/>
        </w:rPr>
      </w:pPr>
      <w:r>
        <w:rPr>
          <w:rFonts w:hint="eastAsia" w:ascii="宋体" w:hAnsi="宋体" w:cs="宋体"/>
          <w:b/>
          <w:bCs/>
          <w:color w:val="000000" w:themeColor="text1"/>
          <w:kern w:val="0"/>
          <w:sz w:val="24"/>
          <w:szCs w:val="24"/>
        </w:rPr>
        <w:t>4、计划2026年全年的运输总吨位：</w:t>
      </w:r>
      <w:r>
        <w:rPr>
          <w:rFonts w:hint="eastAsia" w:ascii="宋体" w:hAnsi="宋体" w:cs="宋体"/>
          <w:color w:val="000000" w:themeColor="text1"/>
          <w:kern w:val="0"/>
          <w:sz w:val="24"/>
          <w:szCs w:val="24"/>
        </w:rPr>
        <w:t>约8200吨（具体以实际为准）</w:t>
      </w:r>
    </w:p>
    <w:p w14:paraId="6012E011">
      <w:pPr>
        <w:spacing w:line="360" w:lineRule="auto"/>
        <w:ind w:firstLine="482" w:firstLineChars="200"/>
        <w:rPr>
          <w:rFonts w:ascii="宋体" w:hAnsi="宋体" w:cs="宋体"/>
          <w:color w:val="000000" w:themeColor="text1"/>
          <w:kern w:val="0"/>
          <w:sz w:val="24"/>
          <w:szCs w:val="24"/>
        </w:rPr>
      </w:pPr>
      <w:r>
        <w:rPr>
          <w:rFonts w:hint="eastAsia" w:ascii="宋体" w:hAnsi="宋体" w:cs="宋体"/>
          <w:b/>
          <w:bCs/>
          <w:color w:val="000000" w:themeColor="text1"/>
          <w:kern w:val="0"/>
          <w:sz w:val="24"/>
          <w:szCs w:val="24"/>
        </w:rPr>
        <w:t>5、运输频次及要求：</w:t>
      </w:r>
      <w:r>
        <w:rPr>
          <w:rFonts w:hint="eastAsia" w:ascii="宋体" w:hAnsi="宋体" w:cs="宋体"/>
          <w:color w:val="000000" w:themeColor="text1"/>
          <w:kern w:val="0"/>
          <w:sz w:val="24"/>
          <w:szCs w:val="24"/>
        </w:rPr>
        <w:t>根据生产需求由广州柴油机厂股份有限公司通知中标公司发出运输任务，中标单位根据运输任务起讫点要求承运。</w:t>
      </w:r>
    </w:p>
    <w:p w14:paraId="0DD3A65C">
      <w:pPr>
        <w:pStyle w:val="32"/>
        <w:widowControl/>
        <w:spacing w:line="360" w:lineRule="auto"/>
        <w:ind w:firstLine="0" w:firstLineChars="0"/>
        <w:jc w:val="left"/>
        <w:rPr>
          <w:rFonts w:ascii="宋体" w:cs="宋体"/>
          <w:b/>
          <w:kern w:val="0"/>
          <w:sz w:val="24"/>
          <w:szCs w:val="24"/>
        </w:rPr>
      </w:pPr>
      <w:bookmarkStart w:id="0" w:name="_Toc238797534"/>
      <w:bookmarkStart w:id="1" w:name="_Toc516643435"/>
      <w:bookmarkStart w:id="2" w:name="_Toc152045514"/>
      <w:bookmarkStart w:id="3" w:name="_Toc238552179"/>
      <w:bookmarkStart w:id="4" w:name="_Toc144974482"/>
      <w:bookmarkStart w:id="5" w:name="_Toc152042290"/>
      <w:r>
        <w:rPr>
          <w:rFonts w:hint="eastAsia" w:ascii="宋体" w:hAnsi="宋体" w:cs="宋体"/>
          <w:b/>
          <w:kern w:val="0"/>
          <w:sz w:val="24"/>
          <w:szCs w:val="24"/>
        </w:rPr>
        <w:t>三. 投标人须知</w:t>
      </w:r>
    </w:p>
    <w:p w14:paraId="2330FD13">
      <w:pPr>
        <w:pStyle w:val="32"/>
        <w:widowControl/>
        <w:spacing w:line="360" w:lineRule="auto"/>
        <w:ind w:firstLine="480"/>
        <w:jc w:val="left"/>
        <w:rPr>
          <w:rFonts w:ascii="宋体" w:cs="宋体"/>
          <w:kern w:val="0"/>
          <w:sz w:val="24"/>
          <w:szCs w:val="24"/>
        </w:rPr>
      </w:pPr>
      <w:r>
        <w:rPr>
          <w:rFonts w:hint="eastAsia" w:ascii="宋体" w:hAnsi="宋体" w:cs="宋体"/>
          <w:kern w:val="0"/>
          <w:sz w:val="24"/>
          <w:szCs w:val="24"/>
        </w:rPr>
        <w:t>1、投标人基本资格要求</w:t>
      </w:r>
      <w:bookmarkEnd w:id="0"/>
      <w:bookmarkEnd w:id="1"/>
      <w:bookmarkEnd w:id="2"/>
      <w:bookmarkEnd w:id="3"/>
      <w:bookmarkEnd w:id="4"/>
      <w:bookmarkEnd w:id="5"/>
    </w:p>
    <w:p w14:paraId="25281530">
      <w:pPr>
        <w:pStyle w:val="32"/>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1.1 投标人应为中华人民共和国境内依法注册的独立法人，注册资金 400 万元(含）以上，且资信良好。</w:t>
      </w:r>
    </w:p>
    <w:p w14:paraId="5B88ACB2">
      <w:pPr>
        <w:pStyle w:val="32"/>
        <w:widowControl/>
        <w:spacing w:line="360" w:lineRule="auto"/>
        <w:ind w:firstLine="480"/>
        <w:jc w:val="left"/>
        <w:rPr>
          <w:rFonts w:ascii="宋体" w:cs="宋体"/>
          <w:kern w:val="0"/>
          <w:sz w:val="24"/>
          <w:szCs w:val="24"/>
        </w:rPr>
      </w:pPr>
      <w:r>
        <w:rPr>
          <w:rFonts w:hint="eastAsia" w:ascii="宋体" w:hAnsi="宋体" w:cs="宋体"/>
          <w:kern w:val="0"/>
          <w:sz w:val="24"/>
          <w:szCs w:val="24"/>
        </w:rPr>
        <w:t>1.2 投标人必须具有国家核发至今有效的《营业执照》、《运输许可证》等合法证件；可提供国家认可的准许抵扣进项税额的正规运输发票，提供以签约公司名义开户的银行帐号。</w:t>
      </w:r>
    </w:p>
    <w:p w14:paraId="56F25861">
      <w:pPr>
        <w:pStyle w:val="32"/>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1.3 投标人必须具有两年及以上物流、运输营运经验。</w:t>
      </w:r>
    </w:p>
    <w:p w14:paraId="289CC346">
      <w:pPr>
        <w:pStyle w:val="32"/>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1.4 单位负责人为同一人或者存在控股、管理关系的不同单位，不得参与同一标段投标或者未划分标段的同一招标项目同一分包招标，本项目不接受联合体投标，不允许转包、违法分包（提供书面承诺函）。</w:t>
      </w:r>
    </w:p>
    <w:p w14:paraId="66A18307">
      <w:pPr>
        <w:pStyle w:val="32"/>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1.5 近 3 年（自投标截止之日起前 36 个月）内无重大交通安全事故、重大货物损坏或丢失事故记录，无被相关行政主管部门吊销资质、责令停业整顿的行政处罚记录（提供书面承诺函）。</w:t>
      </w:r>
    </w:p>
    <w:p w14:paraId="4CA2BD96">
      <w:pPr>
        <w:pStyle w:val="32"/>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1.6具有健全的财务会计制度，近3年财务状况良好，无破产、清算等不良记录（提供近3年经审计的财务报告或财务报表，新成立不足 3 年的按实际成立年限提供）。</w:t>
      </w:r>
    </w:p>
    <w:p w14:paraId="737729D3">
      <w:pPr>
        <w:pStyle w:val="32"/>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1.7未被列入“信用中国”网站（</w:t>
      </w:r>
      <w:r>
        <w:fldChar w:fldCharType="begin"/>
      </w:r>
      <w:r>
        <w:instrText xml:space="preserve"> HYPERLINK "https://www.creditchina.gov.cn" </w:instrText>
      </w:r>
      <w:r>
        <w:fldChar w:fldCharType="separate"/>
      </w:r>
      <w:r>
        <w:rPr>
          <w:rFonts w:hint="eastAsia" w:ascii="宋体" w:hAnsi="宋体" w:cs="宋体"/>
          <w:kern w:val="0"/>
          <w:sz w:val="24"/>
          <w:szCs w:val="24"/>
        </w:rPr>
        <w:t>www.creditchina.gov.cn</w:t>
      </w:r>
      <w:r>
        <w:rPr>
          <w:rFonts w:hint="eastAsia" w:ascii="宋体" w:hAnsi="宋体" w:cs="宋体"/>
          <w:kern w:val="0"/>
          <w:sz w:val="24"/>
          <w:szCs w:val="24"/>
        </w:rPr>
        <w:fldChar w:fldCharType="end"/>
      </w:r>
      <w:r>
        <w:rPr>
          <w:rFonts w:hint="eastAsia" w:ascii="宋体" w:hAnsi="宋体" w:cs="宋体"/>
          <w:kern w:val="0"/>
          <w:sz w:val="24"/>
          <w:szCs w:val="24"/>
        </w:rPr>
        <w:t>）失信被执行人名单、重大税收违法失信主体名单，未被列入中国政府采购网（</w:t>
      </w:r>
      <w:r>
        <w:fldChar w:fldCharType="begin"/>
      </w:r>
      <w:r>
        <w:instrText xml:space="preserve"> HYPERLINK "https://www.ccgp.gov.cn" </w:instrText>
      </w:r>
      <w:r>
        <w:fldChar w:fldCharType="separate"/>
      </w:r>
      <w:r>
        <w:rPr>
          <w:rFonts w:hint="eastAsia" w:ascii="宋体" w:hAnsi="宋体" w:cs="宋体"/>
          <w:kern w:val="0"/>
          <w:sz w:val="24"/>
          <w:szCs w:val="24"/>
        </w:rPr>
        <w:t>www.ccgp.gov.cn</w:t>
      </w:r>
      <w:r>
        <w:rPr>
          <w:rFonts w:hint="eastAsia" w:ascii="宋体" w:hAnsi="宋体" w:cs="宋体"/>
          <w:kern w:val="0"/>
          <w:sz w:val="24"/>
          <w:szCs w:val="24"/>
        </w:rPr>
        <w:fldChar w:fldCharType="end"/>
      </w:r>
      <w:r>
        <w:rPr>
          <w:rFonts w:hint="eastAsia" w:ascii="宋体" w:hAnsi="宋体" w:cs="宋体"/>
          <w:kern w:val="0"/>
          <w:sz w:val="24"/>
          <w:szCs w:val="24"/>
        </w:rPr>
        <w:t>）政府采购严重违法失信行为记录名单（提供招标公告发布后至投标截止日前的查询截图）。</w:t>
      </w:r>
    </w:p>
    <w:p w14:paraId="438BB371">
      <w:pPr>
        <w:pStyle w:val="32"/>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2、专项资格要求</w:t>
      </w:r>
    </w:p>
    <w:p w14:paraId="34959812">
      <w:pPr>
        <w:pStyle w:val="32"/>
        <w:widowControl/>
        <w:spacing w:line="360" w:lineRule="auto"/>
        <w:ind w:firstLine="480"/>
        <w:jc w:val="left"/>
      </w:pPr>
      <w:r>
        <w:rPr>
          <w:rFonts w:hint="eastAsia" w:ascii="宋体" w:hAnsi="宋体" w:cs="宋体"/>
          <w:kern w:val="0"/>
          <w:sz w:val="24"/>
          <w:szCs w:val="24"/>
        </w:rPr>
        <w:t>2.1运输车辆要求：投标人须拥有符合运输货物的载重、容积等要求的车辆，所有车辆须具备有效的行驶证、道路运输证，且车辆技术状况良好，符合国家及地方相关排放标准（提供车辆行驶证、道路运输证复印件及车辆清单，注明车辆型号、载重、购置时间等信息）；</w:t>
      </w:r>
    </w:p>
    <w:p w14:paraId="3F6FDC9F">
      <w:pPr>
        <w:pStyle w:val="32"/>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2.2运输人员要求：（1）拟投入本项目的驾驶员须持有与驾驶车辆对应的有效驾驶证及《道路运输从业人员从业资格证》，近 3 年无重大交通违法记录、无重大责任事故记录（提供驾驶员身份证、驾驶证、从业资格证复印件及无事故承诺函）；（2）投标人配备运输调度人员、安全管理人员，负责运输组织协调及安全监管工作（提供人员名单、岗位职责说明及相关从业证明材料）；</w:t>
      </w:r>
    </w:p>
    <w:p w14:paraId="16C5383F">
      <w:pPr>
        <w:pStyle w:val="32"/>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2.3服务能力要求：投标人须具备应对突发运输需求的应急保障能力，能根据招标人要求调整运输计划、增派车辆及人员，针对交通事故、恶劣天气、车辆故障等突发情况，制定完善的应急处置流程及备选方案，具有严格的货物安全保障体系，保证突发事件信息及时反馈及解决（提供应急保障方案）。</w:t>
      </w:r>
    </w:p>
    <w:p w14:paraId="2F45CBA9">
      <w:pPr>
        <w:pStyle w:val="32"/>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2.4保险要求：需为运输货物购买足额的货物运输险（保险金额不低于货物实际价值），为拟投入车辆购买交强险及商业险（商业险含第三者责任险），并提供有效保险单复印件。</w:t>
      </w:r>
    </w:p>
    <w:p w14:paraId="52F5A1FB">
      <w:pPr>
        <w:pStyle w:val="32"/>
        <w:widowControl/>
        <w:spacing w:line="360" w:lineRule="auto"/>
        <w:ind w:firstLine="480"/>
        <w:jc w:val="left"/>
        <w:rPr>
          <w:rFonts w:ascii="宋体" w:hAnsi="宋体" w:cs="宋体"/>
          <w:kern w:val="0"/>
          <w:sz w:val="24"/>
          <w:szCs w:val="24"/>
        </w:rPr>
      </w:pPr>
      <w:r>
        <w:rPr>
          <w:rFonts w:hint="eastAsia" w:ascii="宋体" w:hAnsi="宋体" w:cs="宋体"/>
          <w:kern w:val="0"/>
          <w:sz w:val="24"/>
          <w:szCs w:val="24"/>
        </w:rPr>
        <w:t>3、投标人必须提供以下资料复印件，并加盖公章、注明与原件相符：企业营业执照、公司法定代表人身份证、法定代表人委托代理人身份证及法定代表人对代理人的委托授权书（格式自拟，如法定代表人参加投标活动则免此项）、《投标单位基本情况表》（附表1）、《客户服务评价表》（附件2）、《投标报价表》（附件5、附件6、附件7）、近年服务项目及其他相关合同业绩证明。</w:t>
      </w:r>
    </w:p>
    <w:p w14:paraId="3EE90F8B">
      <w:pPr>
        <w:pStyle w:val="32"/>
        <w:widowControl/>
        <w:spacing w:line="360" w:lineRule="auto"/>
        <w:ind w:left="567" w:firstLine="0" w:firstLineChars="0"/>
        <w:jc w:val="left"/>
        <w:rPr>
          <w:rFonts w:ascii="宋体" w:hAnsi="宋体" w:cs="宋体"/>
          <w:kern w:val="0"/>
          <w:sz w:val="24"/>
          <w:szCs w:val="24"/>
        </w:rPr>
      </w:pPr>
      <w:r>
        <w:rPr>
          <w:rFonts w:hint="eastAsia" w:ascii="宋体" w:hAnsi="宋体" w:cs="宋体"/>
          <w:kern w:val="0"/>
          <w:sz w:val="24"/>
          <w:szCs w:val="24"/>
        </w:rPr>
        <w:t>投标人须把以上资料一起采用信封密封，贴封条并加盖单位公章。</w:t>
      </w:r>
    </w:p>
    <w:p w14:paraId="3148ED89">
      <w:pPr>
        <w:pStyle w:val="32"/>
        <w:widowControl/>
        <w:numPr>
          <w:ilvl w:val="0"/>
          <w:numId w:val="1"/>
        </w:numPr>
        <w:spacing w:line="360" w:lineRule="auto"/>
        <w:ind w:left="567" w:firstLine="0" w:firstLineChars="0"/>
        <w:jc w:val="left"/>
        <w:rPr>
          <w:rFonts w:ascii="宋体" w:hAnsi="宋体" w:cs="宋体"/>
          <w:kern w:val="0"/>
          <w:sz w:val="24"/>
          <w:szCs w:val="24"/>
        </w:rPr>
      </w:pPr>
      <w:r>
        <w:rPr>
          <w:rFonts w:hint="eastAsia" w:ascii="宋体" w:hAnsi="宋体" w:cs="宋体"/>
          <w:kern w:val="0"/>
          <w:sz w:val="24"/>
          <w:szCs w:val="24"/>
        </w:rPr>
        <w:t>投标人应确认已研读《广柴股份本部2026年生产物资运输合同（范本）》（附件</w:t>
      </w:r>
    </w:p>
    <w:p w14:paraId="0A05F68F">
      <w:pPr>
        <w:pStyle w:val="32"/>
        <w:widowControl/>
        <w:spacing w:line="360" w:lineRule="auto"/>
        <w:ind w:firstLine="0" w:firstLineChars="0"/>
        <w:jc w:val="left"/>
        <w:rPr>
          <w:rFonts w:ascii="宋体" w:hAnsi="宋体" w:cs="宋体"/>
          <w:kern w:val="0"/>
          <w:sz w:val="24"/>
          <w:szCs w:val="24"/>
        </w:rPr>
      </w:pPr>
      <w:r>
        <w:rPr>
          <w:rFonts w:hint="eastAsia" w:ascii="宋体" w:hAnsi="宋体" w:cs="宋体"/>
          <w:kern w:val="0"/>
          <w:sz w:val="24"/>
          <w:szCs w:val="24"/>
        </w:rPr>
        <w:t>10）所有条款，投标即视为同意接受该范本约束，中标后须按范本条款签订正式合同并严格执行。</w:t>
      </w:r>
    </w:p>
    <w:p w14:paraId="3AB219B1">
      <w:pPr>
        <w:pStyle w:val="32"/>
        <w:widowControl/>
        <w:numPr>
          <w:ilvl w:val="0"/>
          <w:numId w:val="1"/>
        </w:numPr>
        <w:spacing w:line="360" w:lineRule="auto"/>
        <w:ind w:left="567" w:firstLine="0" w:firstLineChars="0"/>
        <w:jc w:val="left"/>
        <w:rPr>
          <w:rFonts w:ascii="宋体" w:hAnsi="宋体" w:cs="宋体"/>
          <w:kern w:val="0"/>
          <w:sz w:val="24"/>
          <w:szCs w:val="24"/>
        </w:rPr>
      </w:pPr>
      <w:r>
        <w:rPr>
          <w:rFonts w:hint="eastAsia" w:ascii="宋体" w:hAnsi="宋体" w:cs="宋体"/>
          <w:kern w:val="0"/>
          <w:sz w:val="24"/>
          <w:szCs w:val="24"/>
        </w:rPr>
        <w:t>投标人需提供《投标报价表》中，不同货物运输起讫点的运输路线。</w:t>
      </w:r>
    </w:p>
    <w:p w14:paraId="447F8566">
      <w:pPr>
        <w:pStyle w:val="32"/>
        <w:widowControl/>
        <w:numPr>
          <w:ilvl w:val="0"/>
          <w:numId w:val="1"/>
        </w:numPr>
        <w:spacing w:line="360" w:lineRule="auto"/>
        <w:ind w:left="567" w:firstLine="0" w:firstLineChars="0"/>
        <w:jc w:val="left"/>
        <w:rPr>
          <w:rFonts w:ascii="宋体" w:hAnsi="宋体" w:cs="宋体"/>
          <w:kern w:val="0"/>
          <w:sz w:val="24"/>
          <w:szCs w:val="24"/>
        </w:rPr>
      </w:pPr>
      <w:r>
        <w:rPr>
          <w:rFonts w:hint="eastAsia" w:ascii="宋体" w:hAnsi="宋体" w:cs="宋体"/>
          <w:kern w:val="0"/>
          <w:sz w:val="24"/>
          <w:szCs w:val="24"/>
        </w:rPr>
        <w:t>投标人须具有一定的经济实力，可配合执行运费季度结的付款方式（提供银行资</w:t>
      </w:r>
    </w:p>
    <w:p w14:paraId="23FA0B28">
      <w:pPr>
        <w:pStyle w:val="32"/>
        <w:widowControl/>
        <w:spacing w:line="360" w:lineRule="auto"/>
        <w:ind w:firstLine="0" w:firstLineChars="0"/>
        <w:jc w:val="left"/>
        <w:rPr>
          <w:rFonts w:ascii="宋体" w:hAnsi="宋体" w:cs="宋体"/>
          <w:kern w:val="0"/>
          <w:sz w:val="24"/>
          <w:szCs w:val="24"/>
        </w:rPr>
      </w:pPr>
      <w:r>
        <w:rPr>
          <w:rFonts w:hint="eastAsia" w:ascii="宋体" w:hAnsi="宋体" w:cs="宋体"/>
          <w:kern w:val="0"/>
          <w:sz w:val="24"/>
          <w:szCs w:val="24"/>
        </w:rPr>
        <w:t>信证明或履约保函，能保障项目资金周转及履约）。</w:t>
      </w:r>
    </w:p>
    <w:p w14:paraId="7421E10E">
      <w:pPr>
        <w:pStyle w:val="32"/>
        <w:widowControl/>
        <w:numPr>
          <w:ilvl w:val="0"/>
          <w:numId w:val="1"/>
        </w:numPr>
        <w:spacing w:line="360" w:lineRule="auto"/>
        <w:ind w:left="567" w:firstLine="0" w:firstLineChars="0"/>
        <w:jc w:val="left"/>
        <w:rPr>
          <w:rFonts w:ascii="宋体" w:hAnsi="宋体" w:cs="宋体"/>
          <w:kern w:val="0"/>
          <w:sz w:val="24"/>
          <w:szCs w:val="24"/>
        </w:rPr>
      </w:pPr>
      <w:r>
        <w:rPr>
          <w:rFonts w:hint="eastAsia" w:ascii="宋体" w:hAnsi="宋体" w:cs="宋体"/>
          <w:kern w:val="0"/>
          <w:sz w:val="24"/>
          <w:szCs w:val="24"/>
        </w:rPr>
        <w:t>投标报价：投标人须分别以运输的产品、运输线路分别报价；该价格包含但不限</w:t>
      </w:r>
    </w:p>
    <w:p w14:paraId="23E6A673">
      <w:pPr>
        <w:pStyle w:val="32"/>
        <w:widowControl/>
        <w:spacing w:line="360" w:lineRule="auto"/>
        <w:ind w:firstLine="0" w:firstLineChars="0"/>
        <w:jc w:val="left"/>
        <w:rPr>
          <w:rFonts w:ascii="宋体" w:hAnsi="宋体" w:cs="宋体"/>
          <w:kern w:val="0"/>
          <w:sz w:val="24"/>
          <w:szCs w:val="24"/>
        </w:rPr>
      </w:pPr>
      <w:r>
        <w:rPr>
          <w:rFonts w:hint="eastAsia" w:ascii="宋体" w:hAnsi="宋体" w:cs="宋体"/>
          <w:kern w:val="0"/>
          <w:sz w:val="24"/>
          <w:szCs w:val="24"/>
        </w:rPr>
        <w:t>于运费、路桥费、保险、税费及其他与完成运输服务相关的不可预见费用。</w:t>
      </w:r>
    </w:p>
    <w:p w14:paraId="6C7212E8">
      <w:pPr>
        <w:pStyle w:val="32"/>
        <w:widowControl/>
        <w:numPr>
          <w:ilvl w:val="0"/>
          <w:numId w:val="1"/>
        </w:numPr>
        <w:spacing w:line="360" w:lineRule="auto"/>
        <w:ind w:left="567" w:firstLine="0" w:firstLineChars="0"/>
        <w:jc w:val="left"/>
        <w:rPr>
          <w:rFonts w:ascii="宋体" w:hAnsi="宋体" w:cs="宋体"/>
          <w:kern w:val="0"/>
          <w:sz w:val="24"/>
          <w:szCs w:val="24"/>
        </w:rPr>
      </w:pPr>
      <w:r>
        <w:rPr>
          <w:rFonts w:hint="eastAsia" w:ascii="宋体" w:hAnsi="宋体" w:cs="宋体"/>
          <w:kern w:val="0"/>
          <w:sz w:val="24"/>
          <w:szCs w:val="24"/>
        </w:rPr>
        <w:t>通过资格审查或通过符合性审查（见附件3）的投标人不足5家，应重新招标。</w:t>
      </w:r>
    </w:p>
    <w:p w14:paraId="6E2F2372">
      <w:pPr>
        <w:pStyle w:val="32"/>
        <w:widowControl/>
        <w:numPr>
          <w:ilvl w:val="0"/>
          <w:numId w:val="1"/>
        </w:numPr>
        <w:spacing w:line="360" w:lineRule="auto"/>
        <w:ind w:left="567" w:firstLine="0" w:firstLineChars="0"/>
        <w:jc w:val="left"/>
        <w:rPr>
          <w:rFonts w:ascii="宋体" w:hAnsi="宋体" w:cs="宋体"/>
          <w:kern w:val="0"/>
          <w:sz w:val="24"/>
          <w:szCs w:val="24"/>
        </w:rPr>
      </w:pPr>
      <w:r>
        <w:rPr>
          <w:rFonts w:hint="eastAsia" w:ascii="宋体" w:hAnsi="宋体" w:cs="宋体"/>
          <w:kern w:val="0"/>
          <w:sz w:val="24"/>
          <w:szCs w:val="24"/>
        </w:rPr>
        <w:t>按《广柴股份本部2026年生产物资运输项目评标办法》（见附件4）评分标准确</w:t>
      </w:r>
    </w:p>
    <w:p w14:paraId="4ABD9A55">
      <w:pPr>
        <w:pStyle w:val="32"/>
        <w:widowControl/>
        <w:spacing w:line="360" w:lineRule="auto"/>
        <w:ind w:firstLine="0" w:firstLineChars="0"/>
        <w:jc w:val="left"/>
        <w:rPr>
          <w:rFonts w:ascii="宋体" w:hAnsi="宋体" w:cs="宋体"/>
          <w:kern w:val="0"/>
          <w:sz w:val="24"/>
          <w:szCs w:val="24"/>
        </w:rPr>
      </w:pPr>
      <w:r>
        <w:rPr>
          <w:rFonts w:hint="eastAsia" w:ascii="宋体" w:hAnsi="宋体" w:cs="宋体"/>
          <w:kern w:val="0"/>
          <w:sz w:val="24"/>
          <w:szCs w:val="24"/>
        </w:rPr>
        <w:t>定中标第一、二、三候选人的3家公司，经本公司对中标人的报价进行议价后，确定最终合同执行价格。合同的具体要求按《广柴股份本部2026年生产物资运输合同》执行（见附件10）。</w:t>
      </w:r>
    </w:p>
    <w:p w14:paraId="526ED734">
      <w:pPr>
        <w:pStyle w:val="32"/>
        <w:widowControl/>
        <w:numPr>
          <w:ilvl w:val="0"/>
          <w:numId w:val="1"/>
        </w:numPr>
        <w:spacing w:line="360" w:lineRule="auto"/>
        <w:ind w:left="567" w:firstLine="0" w:firstLineChars="0"/>
        <w:jc w:val="left"/>
        <w:rPr>
          <w:rFonts w:ascii="宋体" w:hAnsi="宋体" w:cs="宋体"/>
          <w:kern w:val="0"/>
          <w:sz w:val="24"/>
          <w:szCs w:val="24"/>
        </w:rPr>
      </w:pPr>
      <w:r>
        <w:rPr>
          <w:rFonts w:hint="eastAsia" w:ascii="宋体" w:hAnsi="宋体" w:cs="宋体"/>
          <w:kern w:val="0"/>
          <w:sz w:val="24"/>
          <w:szCs w:val="24"/>
        </w:rPr>
        <w:t>如入围单位放弃中标资格由评标得分高至低递补新的入围单位。</w:t>
      </w:r>
    </w:p>
    <w:p w14:paraId="4E893BE1">
      <w:pPr>
        <w:pStyle w:val="32"/>
        <w:widowControl/>
        <w:numPr>
          <w:ilvl w:val="0"/>
          <w:numId w:val="1"/>
        </w:numPr>
        <w:spacing w:line="360" w:lineRule="auto"/>
        <w:ind w:left="567" w:firstLine="0" w:firstLineChars="0"/>
        <w:jc w:val="left"/>
        <w:rPr>
          <w:rFonts w:ascii="宋体" w:hAnsi="宋体" w:cs="宋体"/>
          <w:kern w:val="0"/>
          <w:sz w:val="24"/>
          <w:szCs w:val="24"/>
        </w:rPr>
      </w:pPr>
      <w:r>
        <w:rPr>
          <w:rFonts w:hint="eastAsia" w:ascii="宋体" w:hAnsi="宋体" w:cs="宋体"/>
          <w:kern w:val="0"/>
          <w:sz w:val="24"/>
          <w:szCs w:val="24"/>
        </w:rPr>
        <w:t>投标书须装订成册，编制目录。投标书份数为一正本四副本一电子版，正、副本</w:t>
      </w:r>
    </w:p>
    <w:p w14:paraId="3313C4A4">
      <w:pPr>
        <w:pStyle w:val="32"/>
        <w:widowControl/>
        <w:spacing w:line="360" w:lineRule="auto"/>
        <w:ind w:firstLine="0" w:firstLineChars="0"/>
        <w:jc w:val="left"/>
        <w:rPr>
          <w:rFonts w:ascii="宋体" w:hAnsi="宋体" w:cs="宋体"/>
          <w:kern w:val="0"/>
          <w:sz w:val="24"/>
          <w:szCs w:val="24"/>
        </w:rPr>
      </w:pPr>
      <w:r>
        <w:rPr>
          <w:rFonts w:hint="eastAsia" w:ascii="宋体" w:hAnsi="宋体" w:cs="宋体"/>
          <w:kern w:val="0"/>
          <w:sz w:val="24"/>
          <w:szCs w:val="24"/>
        </w:rPr>
        <w:t>封面应清晰标记“正本”或“副本”字样。当正、副本与电子版不一致时，以纸质正本为准。电子版必须是</w:t>
      </w:r>
      <w:r>
        <w:rPr>
          <w:rFonts w:ascii="宋体" w:hAnsi="宋体" w:cs="宋体"/>
          <w:kern w:val="0"/>
          <w:sz w:val="24"/>
          <w:szCs w:val="24"/>
        </w:rPr>
        <w:t>U</w:t>
      </w:r>
      <w:r>
        <w:rPr>
          <w:rFonts w:hint="eastAsia" w:ascii="宋体" w:hAnsi="宋体" w:cs="宋体"/>
          <w:kern w:val="0"/>
          <w:sz w:val="24"/>
          <w:szCs w:val="24"/>
        </w:rPr>
        <w:t>盘，其外包装应注明项目名称、投标人名称，且保证在评标时能正常读取</w:t>
      </w:r>
      <w:r>
        <w:rPr>
          <w:rFonts w:hint="eastAsia" w:ascii="宋体" w:hAnsi="宋体"/>
          <w:b/>
          <w:sz w:val="24"/>
        </w:rPr>
        <w:t>。</w:t>
      </w:r>
    </w:p>
    <w:p w14:paraId="6459C91C">
      <w:pPr>
        <w:pStyle w:val="32"/>
        <w:widowControl/>
        <w:spacing w:line="360" w:lineRule="auto"/>
        <w:ind w:firstLine="0" w:firstLineChars="0"/>
        <w:jc w:val="left"/>
        <w:rPr>
          <w:rFonts w:ascii="宋体" w:cs="宋体"/>
          <w:b/>
          <w:kern w:val="0"/>
          <w:sz w:val="24"/>
          <w:szCs w:val="24"/>
        </w:rPr>
      </w:pPr>
      <w:bookmarkStart w:id="6" w:name="_Toc516643438"/>
      <w:r>
        <w:rPr>
          <w:rFonts w:hint="eastAsia" w:ascii="宋体" w:hAnsi="宋体" w:cs="宋体"/>
          <w:b/>
          <w:kern w:val="0"/>
          <w:sz w:val="24"/>
          <w:szCs w:val="24"/>
        </w:rPr>
        <w:t>四.开标时，出现如下情况之一的为无效标：</w:t>
      </w:r>
    </w:p>
    <w:p w14:paraId="7ED73B0A">
      <w:pPr>
        <w:pStyle w:val="32"/>
        <w:widowControl/>
        <w:spacing w:line="360" w:lineRule="auto"/>
        <w:ind w:firstLine="480"/>
        <w:jc w:val="left"/>
        <w:rPr>
          <w:rFonts w:ascii="宋体" w:cs="宋体"/>
          <w:sz w:val="24"/>
        </w:rPr>
      </w:pPr>
      <w:r>
        <w:rPr>
          <w:rFonts w:hint="eastAsia" w:ascii="宋体" w:hAnsi="宋体" w:cs="宋体"/>
          <w:sz w:val="24"/>
        </w:rPr>
        <w:t>1、投标书的关键内容模糊或不能辨认的；</w:t>
      </w:r>
    </w:p>
    <w:p w14:paraId="1E597082">
      <w:pPr>
        <w:pStyle w:val="32"/>
        <w:widowControl/>
        <w:spacing w:line="360" w:lineRule="auto"/>
        <w:ind w:firstLine="480"/>
        <w:jc w:val="left"/>
        <w:rPr>
          <w:rFonts w:ascii="宋体" w:cs="宋体"/>
          <w:sz w:val="24"/>
        </w:rPr>
      </w:pPr>
      <w:r>
        <w:rPr>
          <w:rFonts w:hint="eastAsia" w:ascii="宋体" w:hAnsi="宋体" w:cs="宋体"/>
          <w:sz w:val="24"/>
        </w:rPr>
        <w:t>2、投标书未密封和未在封条上加盖公章的。</w:t>
      </w:r>
    </w:p>
    <w:p w14:paraId="7C9565A1">
      <w:pPr>
        <w:pStyle w:val="32"/>
        <w:widowControl/>
        <w:spacing w:line="360" w:lineRule="auto"/>
        <w:ind w:firstLine="480"/>
        <w:jc w:val="left"/>
        <w:rPr>
          <w:rFonts w:ascii="宋体" w:hAnsi="宋体" w:cs="宋体"/>
          <w:sz w:val="24"/>
        </w:rPr>
      </w:pPr>
      <w:r>
        <w:rPr>
          <w:rFonts w:hint="eastAsia" w:ascii="宋体" w:hAnsi="宋体" w:cs="宋体"/>
          <w:sz w:val="24"/>
        </w:rPr>
        <w:t>3、投标书资料不齐全、不真实或与其他投标单位串通投标的。</w:t>
      </w:r>
    </w:p>
    <w:p w14:paraId="40A126FB">
      <w:pPr>
        <w:pStyle w:val="32"/>
        <w:widowControl/>
        <w:spacing w:line="360" w:lineRule="auto"/>
        <w:ind w:firstLine="480"/>
        <w:jc w:val="left"/>
        <w:rPr>
          <w:rFonts w:ascii="宋体" w:hAnsi="宋体" w:cs="宋体"/>
          <w:sz w:val="24"/>
        </w:rPr>
      </w:pPr>
      <w:r>
        <w:rPr>
          <w:rFonts w:hint="eastAsia" w:ascii="宋体" w:hAnsi="宋体" w:cs="宋体"/>
          <w:sz w:val="24"/>
        </w:rPr>
        <w:t>4、</w:t>
      </w:r>
      <w:r>
        <w:rPr>
          <w:rFonts w:hint="eastAsia" w:ascii="宋体" w:hAnsi="宋体" w:cs="宋体"/>
          <w:kern w:val="0"/>
          <w:sz w:val="24"/>
          <w:szCs w:val="24"/>
        </w:rPr>
        <w:t>逾期送达或者未送达指定地点。</w:t>
      </w:r>
    </w:p>
    <w:bookmarkEnd w:id="6"/>
    <w:p w14:paraId="6D9BD74A">
      <w:pPr>
        <w:pStyle w:val="32"/>
        <w:widowControl/>
        <w:spacing w:line="360" w:lineRule="auto"/>
        <w:ind w:firstLine="0" w:firstLineChars="0"/>
        <w:jc w:val="left"/>
        <w:rPr>
          <w:rFonts w:ascii="宋体" w:cs="宋体"/>
          <w:b/>
          <w:kern w:val="0"/>
          <w:sz w:val="24"/>
          <w:szCs w:val="24"/>
        </w:rPr>
      </w:pPr>
      <w:bookmarkStart w:id="7" w:name="_Toc238552183"/>
      <w:bookmarkStart w:id="8" w:name="_Toc152042293"/>
      <w:bookmarkStart w:id="9" w:name="_Toc152045517"/>
      <w:bookmarkStart w:id="10" w:name="_Toc144974485"/>
      <w:bookmarkStart w:id="11" w:name="_Toc516643439"/>
      <w:bookmarkStart w:id="12" w:name="_Toc238797538"/>
      <w:r>
        <w:rPr>
          <w:rFonts w:hint="eastAsia" w:ascii="宋体" w:hAnsi="宋体" w:cs="宋体"/>
          <w:b/>
          <w:kern w:val="0"/>
          <w:sz w:val="24"/>
          <w:szCs w:val="24"/>
        </w:rPr>
        <w:t>五.投标文件的递交时间、开标时间等信息</w:t>
      </w:r>
    </w:p>
    <w:p w14:paraId="3BB7161C">
      <w:pPr>
        <w:pStyle w:val="32"/>
        <w:widowControl/>
        <w:spacing w:line="360" w:lineRule="auto"/>
        <w:ind w:firstLine="480"/>
        <w:jc w:val="left"/>
        <w:rPr>
          <w:rFonts w:ascii="宋体" w:cs="宋体"/>
          <w:color w:val="000000" w:themeColor="text1"/>
          <w:kern w:val="0"/>
          <w:sz w:val="24"/>
          <w:szCs w:val="24"/>
        </w:rPr>
      </w:pPr>
      <w:r>
        <w:rPr>
          <w:rFonts w:hint="eastAsia" w:ascii="宋体" w:hAnsi="宋体" w:cs="宋体"/>
          <w:color w:val="000000" w:themeColor="text1"/>
          <w:kern w:val="0"/>
          <w:sz w:val="24"/>
          <w:szCs w:val="24"/>
        </w:rPr>
        <w:t>1、递交投标文件的时间：</w:t>
      </w:r>
      <w:r>
        <w:rPr>
          <w:rFonts w:ascii="宋体" w:hAnsi="宋体" w:cs="宋体"/>
          <w:color w:val="000000" w:themeColor="text1"/>
          <w:kern w:val="0"/>
          <w:sz w:val="24"/>
          <w:szCs w:val="24"/>
        </w:rPr>
        <w:t>202</w:t>
      </w:r>
      <w:r>
        <w:rPr>
          <w:rFonts w:hint="eastAsia" w:ascii="宋体" w:hAnsi="宋体" w:cs="宋体"/>
          <w:color w:val="000000" w:themeColor="text1"/>
          <w:kern w:val="0"/>
          <w:sz w:val="24"/>
          <w:szCs w:val="24"/>
        </w:rPr>
        <w:t>6年1月30日上午9时至2026年02月2</w:t>
      </w:r>
      <w:r>
        <w:rPr>
          <w:rFonts w:hint="eastAsia" w:ascii="宋体" w:hAnsi="宋体" w:cs="宋体"/>
          <w:color w:val="000000" w:themeColor="text1"/>
          <w:kern w:val="0"/>
          <w:sz w:val="24"/>
          <w:szCs w:val="24"/>
          <w:lang w:val="en-US" w:eastAsia="zh-CN"/>
        </w:rPr>
        <w:t>5</w:t>
      </w:r>
      <w:r>
        <w:rPr>
          <w:rFonts w:hint="eastAsia" w:ascii="宋体" w:hAnsi="宋体" w:cs="宋体"/>
          <w:color w:val="000000" w:themeColor="text1"/>
          <w:kern w:val="0"/>
          <w:sz w:val="24"/>
          <w:szCs w:val="24"/>
        </w:rPr>
        <w:t>日下午4时</w:t>
      </w:r>
    </w:p>
    <w:p w14:paraId="7615B37E">
      <w:pPr>
        <w:pStyle w:val="32"/>
        <w:widowControl/>
        <w:spacing w:line="360" w:lineRule="auto"/>
        <w:ind w:firstLine="480"/>
        <w:jc w:val="left"/>
        <w:rPr>
          <w:rFonts w:ascii="宋体" w:cs="宋体"/>
          <w:color w:val="000000" w:themeColor="text1"/>
          <w:kern w:val="0"/>
          <w:sz w:val="24"/>
          <w:szCs w:val="24"/>
        </w:rPr>
      </w:pPr>
      <w:r>
        <w:rPr>
          <w:rFonts w:hint="eastAsia" w:ascii="宋体" w:hAnsi="宋体" w:cs="宋体"/>
          <w:color w:val="000000" w:themeColor="text1"/>
          <w:kern w:val="0"/>
          <w:sz w:val="24"/>
          <w:szCs w:val="24"/>
        </w:rPr>
        <w:t>2、投标截止时间：</w:t>
      </w:r>
      <w:r>
        <w:rPr>
          <w:rFonts w:ascii="宋体" w:hAnsi="宋体" w:cs="宋体"/>
          <w:color w:val="000000" w:themeColor="text1"/>
          <w:kern w:val="0"/>
          <w:sz w:val="24"/>
          <w:szCs w:val="24"/>
        </w:rPr>
        <w:t>20</w:t>
      </w:r>
      <w:r>
        <w:rPr>
          <w:rFonts w:hint="eastAsia" w:ascii="宋体" w:hAnsi="宋体" w:cs="宋体"/>
          <w:color w:val="000000" w:themeColor="text1"/>
          <w:kern w:val="0"/>
          <w:sz w:val="24"/>
          <w:szCs w:val="24"/>
        </w:rPr>
        <w:t>26年02月2</w:t>
      </w:r>
      <w:r>
        <w:rPr>
          <w:rFonts w:hint="eastAsia" w:ascii="宋体" w:hAnsi="宋体" w:cs="宋体"/>
          <w:color w:val="000000" w:themeColor="text1"/>
          <w:kern w:val="0"/>
          <w:sz w:val="24"/>
          <w:szCs w:val="24"/>
          <w:lang w:val="en-US" w:eastAsia="zh-CN"/>
        </w:rPr>
        <w:t>5</w:t>
      </w:r>
      <w:r>
        <w:rPr>
          <w:rFonts w:hint="eastAsia" w:ascii="宋体" w:hAnsi="宋体" w:cs="宋体"/>
          <w:color w:val="000000" w:themeColor="text1"/>
          <w:kern w:val="0"/>
          <w:sz w:val="24"/>
          <w:szCs w:val="24"/>
        </w:rPr>
        <w:t>日下午4时</w:t>
      </w:r>
    </w:p>
    <w:p w14:paraId="5E044AFD">
      <w:pPr>
        <w:pStyle w:val="32"/>
        <w:widowControl/>
        <w:spacing w:line="360" w:lineRule="auto"/>
        <w:ind w:firstLine="480"/>
        <w:jc w:val="left"/>
        <w:rPr>
          <w:rFonts w:ascii="宋体" w:cs="宋体"/>
          <w:color w:val="000000" w:themeColor="text1"/>
          <w:kern w:val="0"/>
          <w:sz w:val="24"/>
          <w:szCs w:val="24"/>
        </w:rPr>
      </w:pPr>
      <w:r>
        <w:rPr>
          <w:rFonts w:hint="eastAsia" w:ascii="宋体" w:hAnsi="宋体" w:cs="宋体"/>
          <w:color w:val="000000" w:themeColor="text1"/>
          <w:kern w:val="0"/>
          <w:sz w:val="24"/>
          <w:szCs w:val="24"/>
        </w:rPr>
        <w:t>3、投标文件递交地点：广州市荔湾区芳村大道东73号广柴股份运营管理部</w:t>
      </w:r>
    </w:p>
    <w:p w14:paraId="2F28C55A">
      <w:pPr>
        <w:pStyle w:val="32"/>
        <w:widowControl/>
        <w:spacing w:line="360" w:lineRule="auto"/>
        <w:ind w:firstLine="480"/>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4、开标时间：2026年02月2</w:t>
      </w:r>
      <w:r>
        <w:rPr>
          <w:rFonts w:hint="eastAsia" w:ascii="宋体" w:hAnsi="宋体" w:cs="宋体"/>
          <w:color w:val="000000" w:themeColor="text1"/>
          <w:kern w:val="0"/>
          <w:sz w:val="24"/>
          <w:szCs w:val="24"/>
          <w:lang w:val="en-US" w:eastAsia="zh-CN"/>
        </w:rPr>
        <w:t>6</w:t>
      </w:r>
      <w:bookmarkStart w:id="15" w:name="_GoBack"/>
      <w:bookmarkEnd w:id="15"/>
      <w:r>
        <w:rPr>
          <w:rFonts w:hint="eastAsia" w:ascii="宋体" w:hAnsi="宋体" w:cs="宋体"/>
          <w:color w:val="000000" w:themeColor="text1"/>
          <w:kern w:val="0"/>
          <w:sz w:val="24"/>
          <w:szCs w:val="24"/>
        </w:rPr>
        <w:t>日</w:t>
      </w:r>
    </w:p>
    <w:p w14:paraId="442DD722">
      <w:pPr>
        <w:spacing w:line="400" w:lineRule="exact"/>
        <w:ind w:firstLine="480" w:firstLineChars="200"/>
        <w:rPr>
          <w:rFonts w:ascii="宋体" w:hAnsi="宋体" w:cs="宋体"/>
          <w:sz w:val="24"/>
        </w:rPr>
      </w:pPr>
      <w:r>
        <w:rPr>
          <w:rFonts w:hint="eastAsia" w:ascii="宋体" w:hAnsi="宋体" w:cs="宋体"/>
          <w:sz w:val="24"/>
        </w:rPr>
        <w:t>5、投标联系人：莫工，联系电话：13660060222，电子邮箱：</w:t>
      </w:r>
      <w:r>
        <w:fldChar w:fldCharType="begin"/>
      </w:r>
      <w:r>
        <w:instrText xml:space="preserve"> HYPERLINK "mailto:sc-mwy@gdfdiesel.com.cn" </w:instrText>
      </w:r>
      <w:r>
        <w:fldChar w:fldCharType="separate"/>
      </w:r>
      <w:r>
        <w:rPr>
          <w:rStyle w:val="13"/>
          <w:rFonts w:hint="eastAsia" w:ascii="宋体" w:hAnsi="宋体" w:cs="宋体"/>
          <w:sz w:val="24"/>
        </w:rPr>
        <w:t>sc-mwy@gdfdiesel.com.cn</w:t>
      </w:r>
      <w:r>
        <w:rPr>
          <w:rStyle w:val="13"/>
          <w:rFonts w:hint="eastAsia" w:ascii="宋体" w:hAnsi="宋体" w:cs="宋体"/>
          <w:sz w:val="24"/>
        </w:rPr>
        <w:fldChar w:fldCharType="end"/>
      </w:r>
    </w:p>
    <w:p w14:paraId="230605E1">
      <w:pPr>
        <w:spacing w:line="400" w:lineRule="exact"/>
        <w:ind w:firstLine="480" w:firstLineChars="200"/>
        <w:rPr>
          <w:rFonts w:ascii="宋体" w:hAnsi="宋体" w:cs="宋体"/>
          <w:sz w:val="24"/>
        </w:rPr>
      </w:pPr>
      <w:r>
        <w:rPr>
          <w:rFonts w:hint="eastAsia" w:ascii="宋体" w:hAnsi="宋体" w:cs="宋体"/>
          <w:sz w:val="24"/>
        </w:rPr>
        <w:t xml:space="preserve">              帅工，联系电话：13660805455，电子邮箱：</w:t>
      </w:r>
      <w:r>
        <w:fldChar w:fldCharType="begin"/>
      </w:r>
      <w:r>
        <w:instrText xml:space="preserve"> HYPERLINK "mailto:sc-mwy@gdfdiesel.com.cn" </w:instrText>
      </w:r>
      <w:r>
        <w:fldChar w:fldCharType="separate"/>
      </w:r>
      <w:r>
        <w:rPr>
          <w:rStyle w:val="13"/>
          <w:rFonts w:hint="eastAsia" w:ascii="宋体" w:hAnsi="宋体" w:cs="宋体"/>
          <w:sz w:val="24"/>
        </w:rPr>
        <w:t>3shh@gdfdiesel.com.cn</w:t>
      </w:r>
      <w:r>
        <w:rPr>
          <w:rStyle w:val="13"/>
          <w:rFonts w:hint="eastAsia" w:ascii="宋体" w:hAnsi="宋体" w:cs="宋体"/>
          <w:sz w:val="24"/>
        </w:rPr>
        <w:fldChar w:fldCharType="end"/>
      </w:r>
    </w:p>
    <w:bookmarkEnd w:id="7"/>
    <w:bookmarkEnd w:id="8"/>
    <w:bookmarkEnd w:id="9"/>
    <w:bookmarkEnd w:id="10"/>
    <w:bookmarkEnd w:id="11"/>
    <w:bookmarkEnd w:id="12"/>
    <w:p w14:paraId="551603A6">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——————以下无正文——————</w:t>
      </w:r>
    </w:p>
    <w:p w14:paraId="76179524">
      <w:pPr>
        <w:widowControl/>
        <w:spacing w:line="480" w:lineRule="auto"/>
        <w:jc w:val="left"/>
        <w:rPr>
          <w:rFonts w:ascii="宋体" w:hAnsi="宋体" w:eastAsia="宋体" w:cs="宋体"/>
          <w:kern w:val="0"/>
          <w:sz w:val="24"/>
          <w:szCs w:val="24"/>
        </w:rPr>
      </w:pPr>
    </w:p>
    <w:p w14:paraId="10AAC9A9">
      <w:pPr>
        <w:widowControl/>
        <w:spacing w:line="480" w:lineRule="auto"/>
        <w:jc w:val="left"/>
        <w:rPr>
          <w:rFonts w:ascii="宋体" w:hAnsi="宋体" w:eastAsia="宋体" w:cs="宋体"/>
          <w:kern w:val="0"/>
          <w:sz w:val="24"/>
          <w:szCs w:val="24"/>
        </w:rPr>
      </w:pPr>
    </w:p>
    <w:p w14:paraId="3FD60340">
      <w:pPr>
        <w:widowControl/>
        <w:spacing w:line="480" w:lineRule="auto"/>
        <w:jc w:val="left"/>
        <w:rPr>
          <w:rFonts w:ascii="宋体" w:hAnsi="宋体" w:eastAsia="宋体" w:cs="宋体"/>
          <w:kern w:val="0"/>
          <w:sz w:val="24"/>
          <w:szCs w:val="24"/>
        </w:rPr>
      </w:pPr>
    </w:p>
    <w:p w14:paraId="4A734511">
      <w:pPr>
        <w:widowControl/>
        <w:spacing w:line="480" w:lineRule="auto"/>
        <w:jc w:val="left"/>
        <w:rPr>
          <w:rFonts w:ascii="宋体" w:hAnsi="宋体" w:eastAsia="宋体" w:cs="宋体"/>
          <w:kern w:val="0"/>
          <w:sz w:val="24"/>
          <w:szCs w:val="24"/>
        </w:rPr>
      </w:pPr>
    </w:p>
    <w:p w14:paraId="2529EB00">
      <w:pPr>
        <w:widowControl/>
        <w:spacing w:line="480" w:lineRule="auto"/>
        <w:jc w:val="left"/>
        <w:rPr>
          <w:rFonts w:ascii="宋体" w:hAnsi="宋体" w:eastAsia="宋体" w:cs="宋体"/>
          <w:kern w:val="0"/>
          <w:sz w:val="24"/>
          <w:szCs w:val="24"/>
        </w:rPr>
      </w:pPr>
    </w:p>
    <w:p w14:paraId="41AD5182">
      <w:pPr>
        <w:widowControl/>
        <w:spacing w:line="480" w:lineRule="auto"/>
        <w:jc w:val="left"/>
        <w:rPr>
          <w:rFonts w:ascii="宋体" w:hAnsi="宋体" w:eastAsia="宋体" w:cs="宋体"/>
          <w:kern w:val="0"/>
          <w:sz w:val="24"/>
          <w:szCs w:val="24"/>
        </w:rPr>
      </w:pPr>
    </w:p>
    <w:p w14:paraId="76D59A7E">
      <w:pPr>
        <w:widowControl/>
        <w:spacing w:line="480" w:lineRule="auto"/>
        <w:jc w:val="left"/>
        <w:rPr>
          <w:rFonts w:ascii="宋体" w:hAnsi="宋体" w:eastAsia="宋体" w:cs="宋体"/>
          <w:kern w:val="0"/>
          <w:sz w:val="24"/>
          <w:szCs w:val="24"/>
        </w:rPr>
      </w:pPr>
    </w:p>
    <w:p w14:paraId="0DAE9612">
      <w:pPr>
        <w:widowControl/>
        <w:spacing w:line="480" w:lineRule="auto"/>
        <w:jc w:val="left"/>
        <w:rPr>
          <w:rFonts w:ascii="宋体" w:hAnsi="宋体" w:eastAsia="宋体" w:cs="宋体"/>
          <w:kern w:val="0"/>
          <w:sz w:val="24"/>
          <w:szCs w:val="24"/>
        </w:rPr>
      </w:pPr>
    </w:p>
    <w:p w14:paraId="3EC71B48">
      <w:pPr>
        <w:widowControl/>
        <w:spacing w:line="480" w:lineRule="auto"/>
        <w:jc w:val="left"/>
        <w:rPr>
          <w:rFonts w:ascii="宋体" w:hAnsi="宋体" w:eastAsia="宋体" w:cs="宋体"/>
          <w:kern w:val="0"/>
          <w:sz w:val="24"/>
          <w:szCs w:val="24"/>
        </w:rPr>
      </w:pPr>
    </w:p>
    <w:p w14:paraId="51D76A17">
      <w:pPr>
        <w:widowControl/>
        <w:spacing w:line="480" w:lineRule="auto"/>
        <w:jc w:val="left"/>
        <w:rPr>
          <w:rFonts w:ascii="宋体" w:hAnsi="宋体" w:eastAsia="宋体" w:cs="宋体"/>
          <w:kern w:val="0"/>
          <w:sz w:val="24"/>
          <w:szCs w:val="24"/>
        </w:rPr>
      </w:pPr>
    </w:p>
    <w:p w14:paraId="7F88A89B">
      <w:pPr>
        <w:widowControl/>
        <w:spacing w:line="480" w:lineRule="auto"/>
        <w:jc w:val="left"/>
        <w:rPr>
          <w:rFonts w:ascii="宋体" w:hAnsi="宋体" w:eastAsia="宋体" w:cs="宋体"/>
          <w:kern w:val="0"/>
          <w:sz w:val="24"/>
          <w:szCs w:val="24"/>
        </w:rPr>
      </w:pPr>
    </w:p>
    <w:p w14:paraId="4DD62579">
      <w:pPr>
        <w:widowControl/>
        <w:spacing w:line="480" w:lineRule="auto"/>
        <w:jc w:val="left"/>
        <w:rPr>
          <w:rFonts w:ascii="宋体" w:hAnsi="宋体" w:eastAsia="宋体" w:cs="宋体"/>
          <w:kern w:val="0"/>
          <w:sz w:val="24"/>
          <w:szCs w:val="24"/>
        </w:rPr>
      </w:pPr>
    </w:p>
    <w:p w14:paraId="15B6413C">
      <w:pPr>
        <w:widowControl/>
        <w:spacing w:line="480" w:lineRule="auto"/>
        <w:jc w:val="left"/>
        <w:rPr>
          <w:rFonts w:ascii="宋体" w:hAnsi="宋体" w:eastAsia="宋体" w:cs="宋体"/>
          <w:kern w:val="0"/>
          <w:sz w:val="24"/>
          <w:szCs w:val="24"/>
        </w:rPr>
      </w:pPr>
    </w:p>
    <w:p w14:paraId="21E8749B">
      <w:pPr>
        <w:pStyle w:val="32"/>
        <w:widowControl/>
        <w:spacing w:line="360" w:lineRule="auto"/>
        <w:ind w:firstLine="480"/>
        <w:jc w:val="righ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广州柴油机厂股份有限公司 </w:t>
      </w:r>
    </w:p>
    <w:p w14:paraId="2FD4A305">
      <w:pPr>
        <w:pStyle w:val="32"/>
        <w:widowControl/>
        <w:spacing w:line="360" w:lineRule="auto"/>
        <w:ind w:firstLine="480"/>
        <w:jc w:val="right"/>
        <w:rPr>
          <w:rFonts w:ascii="宋体" w:hAnsi="宋体" w:cs="宋体"/>
          <w:color w:val="000000" w:themeColor="text1"/>
          <w:kern w:val="0"/>
          <w:sz w:val="24"/>
          <w:szCs w:val="24"/>
        </w:rPr>
      </w:pPr>
      <w:r>
        <w:rPr>
          <w:rFonts w:hint="eastAsia" w:ascii="宋体" w:hAnsi="宋体" w:cs="宋体"/>
          <w:color w:val="000000" w:themeColor="text1"/>
          <w:kern w:val="0"/>
          <w:sz w:val="24"/>
          <w:szCs w:val="24"/>
        </w:rPr>
        <w:t>2026年1月30日</w:t>
      </w:r>
    </w:p>
    <w:p w14:paraId="0985E595">
      <w:pPr>
        <w:widowControl/>
        <w:spacing w:line="480" w:lineRule="auto"/>
        <w:jc w:val="left"/>
        <w:rPr>
          <w:rFonts w:ascii="宋体" w:hAnsi="宋体" w:eastAsia="宋体" w:cs="宋体"/>
          <w:kern w:val="0"/>
          <w:sz w:val="24"/>
          <w:szCs w:val="24"/>
        </w:rPr>
      </w:pPr>
    </w:p>
    <w:p w14:paraId="30104702">
      <w:pPr>
        <w:widowControl/>
        <w:jc w:val="left"/>
        <w:rPr>
          <w:sz w:val="18"/>
          <w:szCs w:val="18"/>
        </w:rPr>
      </w:pPr>
      <w:r>
        <w:rPr>
          <w:rFonts w:hint="eastAsia" w:ascii="宋体" w:hAnsi="宋体" w:cs="宋体"/>
          <w:sz w:val="18"/>
          <w:szCs w:val="18"/>
        </w:rPr>
        <w:t>备注：本次招标公告及附件资料在本公司官方网站</w:t>
      </w:r>
      <w:r>
        <w:rPr>
          <w:rFonts w:hint="eastAsia"/>
          <w:sz w:val="18"/>
          <w:szCs w:val="18"/>
        </w:rPr>
        <w:t>（</w:t>
      </w:r>
      <w:r>
        <w:fldChar w:fldCharType="begin"/>
      </w:r>
      <w:r>
        <w:instrText xml:space="preserve"> HYPERLINK "http://gdfdiesel.com.cn" </w:instrText>
      </w:r>
      <w:r>
        <w:fldChar w:fldCharType="separate"/>
      </w:r>
      <w:r>
        <w:rPr>
          <w:sz w:val="18"/>
          <w:szCs w:val="18"/>
        </w:rPr>
        <w:t>http://gdfdiesel.com.cn</w:t>
      </w:r>
      <w:r>
        <w:rPr>
          <w:sz w:val="18"/>
          <w:szCs w:val="18"/>
        </w:rPr>
        <w:fldChar w:fldCharType="end"/>
      </w:r>
      <w:r>
        <w:rPr>
          <w:rFonts w:hint="eastAsia"/>
          <w:sz w:val="18"/>
          <w:szCs w:val="18"/>
        </w:rPr>
        <w:t>）上发布，招标资料请自行下载。</w:t>
      </w:r>
    </w:p>
    <w:p w14:paraId="0B52536A">
      <w:pPr>
        <w:pStyle w:val="16"/>
        <w:widowControl/>
        <w:spacing w:line="336" w:lineRule="auto"/>
        <w:ind w:firstLine="0" w:firstLineChars="0"/>
        <w:rPr>
          <w:rFonts w:ascii="宋体" w:hAnsi="宋体" w:eastAsia="宋体" w:cs="宋体"/>
          <w:b/>
          <w:kern w:val="0"/>
          <w:sz w:val="32"/>
          <w:szCs w:val="32"/>
        </w:rPr>
      </w:pPr>
      <w:r>
        <w:rPr>
          <w:rFonts w:ascii="宋体" w:hAnsi="宋体" w:eastAsia="宋体" w:cs="宋体"/>
          <w:b/>
          <w:kern w:val="0"/>
          <w:sz w:val="32"/>
          <w:szCs w:val="32"/>
        </w:rPr>
        <w:br w:type="page"/>
      </w:r>
      <w:bookmarkStart w:id="13" w:name="_Toc15085_WPSOffice_Level2"/>
      <w:bookmarkStart w:id="14" w:name="_Toc6558_WPSOffice_Level2"/>
    </w:p>
    <w:p w14:paraId="6A2BFE59">
      <w:pPr>
        <w:widowControl/>
        <w:jc w:val="left"/>
        <w:rPr>
          <w:rFonts w:ascii="宋体" w:hAnsi="宋体" w:eastAsia="宋体" w:cs="宋体"/>
          <w:b/>
          <w:kern w:val="0"/>
          <w:sz w:val="24"/>
          <w:szCs w:val="24"/>
        </w:rPr>
      </w:pPr>
      <w:r>
        <w:rPr>
          <w:rFonts w:ascii="宋体" w:hAnsi="宋体" w:eastAsia="宋体" w:cs="宋体"/>
          <w:b/>
          <w:kern w:val="0"/>
          <w:sz w:val="24"/>
          <w:szCs w:val="24"/>
        </w:rPr>
        <w:t>附件</w:t>
      </w:r>
      <w:r>
        <w:rPr>
          <w:rFonts w:hint="eastAsia" w:ascii="宋体" w:hAnsi="宋体" w:eastAsia="宋体" w:cs="宋体"/>
          <w:b/>
          <w:kern w:val="0"/>
          <w:sz w:val="24"/>
          <w:szCs w:val="24"/>
        </w:rPr>
        <w:t>:1</w:t>
      </w:r>
      <w:r>
        <w:rPr>
          <w:rFonts w:ascii="宋体" w:hAnsi="宋体" w:eastAsia="宋体" w:cs="宋体"/>
          <w:b/>
          <w:kern w:val="0"/>
          <w:sz w:val="24"/>
          <w:szCs w:val="24"/>
        </w:rPr>
        <w:t>：</w:t>
      </w:r>
    </w:p>
    <w:p w14:paraId="13514D00">
      <w:pPr>
        <w:widowControl/>
        <w:spacing w:line="360" w:lineRule="atLeast"/>
        <w:jc w:val="center"/>
        <w:rPr>
          <w:rFonts w:ascii="宋体" w:hAnsi="宋体" w:eastAsia="宋体" w:cs="宋体"/>
          <w:b/>
          <w:kern w:val="0"/>
          <w:sz w:val="32"/>
          <w:szCs w:val="32"/>
        </w:rPr>
      </w:pPr>
      <w:r>
        <w:rPr>
          <w:rFonts w:hint="eastAsia" w:ascii="宋体" w:hAnsi="宋体" w:eastAsia="宋体" w:cs="宋体"/>
          <w:b/>
          <w:kern w:val="0"/>
          <w:sz w:val="32"/>
          <w:szCs w:val="32"/>
        </w:rPr>
        <w:t>投标单位基本情况表</w:t>
      </w:r>
    </w:p>
    <w:p w14:paraId="0C8B1113">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投标方名称:</w:t>
      </w:r>
    </w:p>
    <w:p w14:paraId="755119DA">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 xml:space="preserve">日期: </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1564"/>
        <w:gridCol w:w="1564"/>
        <w:gridCol w:w="520"/>
        <w:gridCol w:w="1044"/>
        <w:gridCol w:w="701"/>
        <w:gridCol w:w="863"/>
        <w:gridCol w:w="1569"/>
      </w:tblGrid>
      <w:tr w14:paraId="61F4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0794AFDB">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单位名称</w:t>
            </w:r>
          </w:p>
        </w:tc>
        <w:tc>
          <w:tcPr>
            <w:tcW w:w="4063" w:type="pct"/>
            <w:gridSpan w:val="7"/>
          </w:tcPr>
          <w:p w14:paraId="2F62658E">
            <w:pPr>
              <w:widowControl/>
              <w:spacing w:line="360" w:lineRule="atLeast"/>
              <w:jc w:val="left"/>
              <w:rPr>
                <w:rFonts w:ascii="宋体" w:hAnsi="宋体" w:eastAsia="宋体" w:cs="宋体"/>
                <w:kern w:val="0"/>
                <w:sz w:val="24"/>
                <w:szCs w:val="24"/>
              </w:rPr>
            </w:pPr>
          </w:p>
        </w:tc>
      </w:tr>
      <w:tr w14:paraId="2D49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5768B711">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详细地址</w:t>
            </w:r>
          </w:p>
        </w:tc>
        <w:tc>
          <w:tcPr>
            <w:tcW w:w="4063" w:type="pct"/>
            <w:gridSpan w:val="7"/>
          </w:tcPr>
          <w:p w14:paraId="39D71975">
            <w:pPr>
              <w:widowControl/>
              <w:spacing w:line="360" w:lineRule="atLeast"/>
              <w:jc w:val="left"/>
              <w:rPr>
                <w:rFonts w:ascii="宋体" w:hAnsi="宋体" w:eastAsia="宋体" w:cs="宋体"/>
                <w:kern w:val="0"/>
                <w:sz w:val="24"/>
                <w:szCs w:val="24"/>
              </w:rPr>
            </w:pPr>
          </w:p>
        </w:tc>
      </w:tr>
      <w:tr w14:paraId="4BD0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6976E093">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企业性质</w:t>
            </w:r>
          </w:p>
        </w:tc>
        <w:tc>
          <w:tcPr>
            <w:tcW w:w="4063" w:type="pct"/>
            <w:gridSpan w:val="7"/>
          </w:tcPr>
          <w:p w14:paraId="0DC1B284">
            <w:pPr>
              <w:widowControl/>
              <w:spacing w:line="360" w:lineRule="atLeast"/>
              <w:jc w:val="left"/>
              <w:rPr>
                <w:rFonts w:ascii="宋体" w:hAnsi="宋体" w:eastAsia="宋体" w:cs="宋体"/>
                <w:kern w:val="0"/>
                <w:sz w:val="24"/>
                <w:szCs w:val="24"/>
              </w:rPr>
            </w:pPr>
          </w:p>
        </w:tc>
      </w:tr>
      <w:tr w14:paraId="36AF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4ECA2B1B">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主管部门</w:t>
            </w:r>
          </w:p>
        </w:tc>
        <w:tc>
          <w:tcPr>
            <w:tcW w:w="812" w:type="pct"/>
          </w:tcPr>
          <w:p w14:paraId="4D0039A5">
            <w:pPr>
              <w:widowControl/>
              <w:spacing w:line="360" w:lineRule="atLeast"/>
              <w:jc w:val="left"/>
              <w:rPr>
                <w:rFonts w:ascii="宋体" w:hAnsi="宋体" w:eastAsia="宋体" w:cs="宋体"/>
                <w:kern w:val="0"/>
                <w:sz w:val="24"/>
                <w:szCs w:val="24"/>
              </w:rPr>
            </w:pPr>
          </w:p>
        </w:tc>
        <w:tc>
          <w:tcPr>
            <w:tcW w:w="812" w:type="pct"/>
          </w:tcPr>
          <w:p w14:paraId="632B8AB7">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法人代表</w:t>
            </w:r>
          </w:p>
        </w:tc>
        <w:tc>
          <w:tcPr>
            <w:tcW w:w="812" w:type="pct"/>
            <w:gridSpan w:val="2"/>
          </w:tcPr>
          <w:p w14:paraId="382D4147">
            <w:pPr>
              <w:widowControl/>
              <w:spacing w:line="360" w:lineRule="atLeast"/>
              <w:jc w:val="left"/>
              <w:rPr>
                <w:rFonts w:ascii="宋体" w:hAnsi="宋体" w:eastAsia="宋体" w:cs="宋体"/>
                <w:kern w:val="0"/>
                <w:sz w:val="24"/>
                <w:szCs w:val="24"/>
              </w:rPr>
            </w:pPr>
          </w:p>
        </w:tc>
        <w:tc>
          <w:tcPr>
            <w:tcW w:w="812" w:type="pct"/>
            <w:gridSpan w:val="2"/>
          </w:tcPr>
          <w:p w14:paraId="34A882CC">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职务</w:t>
            </w:r>
          </w:p>
        </w:tc>
        <w:tc>
          <w:tcPr>
            <w:tcW w:w="813" w:type="pct"/>
          </w:tcPr>
          <w:p w14:paraId="08CD4BA0">
            <w:pPr>
              <w:widowControl/>
              <w:spacing w:line="360" w:lineRule="atLeast"/>
              <w:jc w:val="left"/>
              <w:rPr>
                <w:rFonts w:ascii="宋体" w:hAnsi="宋体" w:eastAsia="宋体" w:cs="宋体"/>
                <w:kern w:val="0"/>
                <w:sz w:val="24"/>
                <w:szCs w:val="24"/>
              </w:rPr>
            </w:pPr>
          </w:p>
        </w:tc>
      </w:tr>
      <w:tr w14:paraId="17FB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56821014">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经济类型</w:t>
            </w:r>
          </w:p>
        </w:tc>
        <w:tc>
          <w:tcPr>
            <w:tcW w:w="812" w:type="pct"/>
          </w:tcPr>
          <w:p w14:paraId="2329B2EF">
            <w:pPr>
              <w:widowControl/>
              <w:spacing w:line="360" w:lineRule="atLeast"/>
              <w:jc w:val="left"/>
              <w:rPr>
                <w:rFonts w:ascii="宋体" w:hAnsi="宋体" w:eastAsia="宋体" w:cs="宋体"/>
                <w:kern w:val="0"/>
                <w:sz w:val="24"/>
                <w:szCs w:val="24"/>
              </w:rPr>
            </w:pPr>
          </w:p>
        </w:tc>
        <w:tc>
          <w:tcPr>
            <w:tcW w:w="812" w:type="pct"/>
          </w:tcPr>
          <w:p w14:paraId="505F218C">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授权代表</w:t>
            </w:r>
          </w:p>
        </w:tc>
        <w:tc>
          <w:tcPr>
            <w:tcW w:w="812" w:type="pct"/>
            <w:gridSpan w:val="2"/>
          </w:tcPr>
          <w:p w14:paraId="0ADFAA13">
            <w:pPr>
              <w:widowControl/>
              <w:spacing w:line="360" w:lineRule="atLeast"/>
              <w:jc w:val="left"/>
              <w:rPr>
                <w:rFonts w:ascii="宋体" w:hAnsi="宋体" w:eastAsia="宋体" w:cs="宋体"/>
                <w:kern w:val="0"/>
                <w:sz w:val="24"/>
                <w:szCs w:val="24"/>
              </w:rPr>
            </w:pPr>
          </w:p>
        </w:tc>
        <w:tc>
          <w:tcPr>
            <w:tcW w:w="812" w:type="pct"/>
            <w:gridSpan w:val="2"/>
          </w:tcPr>
          <w:p w14:paraId="38AD9C28">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职务</w:t>
            </w:r>
          </w:p>
        </w:tc>
        <w:tc>
          <w:tcPr>
            <w:tcW w:w="813" w:type="pct"/>
          </w:tcPr>
          <w:p w14:paraId="3C4ED492">
            <w:pPr>
              <w:widowControl/>
              <w:spacing w:line="360" w:lineRule="atLeast"/>
              <w:jc w:val="left"/>
              <w:rPr>
                <w:rFonts w:ascii="宋体" w:hAnsi="宋体" w:eastAsia="宋体" w:cs="宋体"/>
                <w:kern w:val="0"/>
                <w:sz w:val="24"/>
                <w:szCs w:val="24"/>
              </w:rPr>
            </w:pPr>
          </w:p>
        </w:tc>
      </w:tr>
      <w:tr w14:paraId="3FFA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1017BA5A">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邮政编码</w:t>
            </w:r>
          </w:p>
        </w:tc>
        <w:tc>
          <w:tcPr>
            <w:tcW w:w="812" w:type="pct"/>
          </w:tcPr>
          <w:p w14:paraId="378B9CA2">
            <w:pPr>
              <w:widowControl/>
              <w:spacing w:line="360" w:lineRule="atLeast"/>
              <w:jc w:val="left"/>
              <w:rPr>
                <w:rFonts w:ascii="宋体" w:hAnsi="宋体" w:eastAsia="宋体" w:cs="宋体"/>
                <w:kern w:val="0"/>
                <w:sz w:val="24"/>
                <w:szCs w:val="24"/>
              </w:rPr>
            </w:pPr>
          </w:p>
        </w:tc>
        <w:tc>
          <w:tcPr>
            <w:tcW w:w="812" w:type="pct"/>
          </w:tcPr>
          <w:p w14:paraId="35811ADE">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电话</w:t>
            </w:r>
          </w:p>
        </w:tc>
        <w:tc>
          <w:tcPr>
            <w:tcW w:w="812" w:type="pct"/>
            <w:gridSpan w:val="2"/>
          </w:tcPr>
          <w:p w14:paraId="56D9FDEC">
            <w:pPr>
              <w:widowControl/>
              <w:spacing w:line="360" w:lineRule="atLeast"/>
              <w:jc w:val="left"/>
              <w:rPr>
                <w:rFonts w:ascii="宋体" w:hAnsi="宋体" w:eastAsia="宋体" w:cs="宋体"/>
                <w:kern w:val="0"/>
                <w:sz w:val="24"/>
                <w:szCs w:val="24"/>
              </w:rPr>
            </w:pPr>
          </w:p>
        </w:tc>
        <w:tc>
          <w:tcPr>
            <w:tcW w:w="812" w:type="pct"/>
            <w:gridSpan w:val="2"/>
          </w:tcPr>
          <w:p w14:paraId="49065246">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传真</w:t>
            </w:r>
          </w:p>
        </w:tc>
        <w:tc>
          <w:tcPr>
            <w:tcW w:w="813" w:type="pct"/>
          </w:tcPr>
          <w:p w14:paraId="51AF2FE8">
            <w:pPr>
              <w:widowControl/>
              <w:spacing w:line="360" w:lineRule="atLeast"/>
              <w:jc w:val="left"/>
              <w:rPr>
                <w:rFonts w:ascii="宋体" w:hAnsi="宋体" w:eastAsia="宋体" w:cs="宋体"/>
                <w:kern w:val="0"/>
                <w:sz w:val="24"/>
                <w:szCs w:val="24"/>
              </w:rPr>
            </w:pPr>
          </w:p>
        </w:tc>
      </w:tr>
      <w:tr w14:paraId="47F5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936" w:type="pct"/>
          </w:tcPr>
          <w:p w14:paraId="40DCD938">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经营范围</w:t>
            </w:r>
          </w:p>
        </w:tc>
        <w:tc>
          <w:tcPr>
            <w:tcW w:w="4063" w:type="pct"/>
            <w:gridSpan w:val="7"/>
          </w:tcPr>
          <w:p w14:paraId="045F0E0E">
            <w:pPr>
              <w:widowControl/>
              <w:spacing w:line="360" w:lineRule="atLeast"/>
              <w:jc w:val="left"/>
              <w:rPr>
                <w:rFonts w:ascii="宋体" w:hAnsi="宋体" w:eastAsia="宋体" w:cs="宋体"/>
                <w:kern w:val="0"/>
                <w:sz w:val="24"/>
                <w:szCs w:val="24"/>
              </w:rPr>
            </w:pPr>
          </w:p>
        </w:tc>
      </w:tr>
      <w:tr w14:paraId="7433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tcPr>
          <w:p w14:paraId="0921520E">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单位的优 势、特长</w:t>
            </w:r>
          </w:p>
        </w:tc>
        <w:tc>
          <w:tcPr>
            <w:tcW w:w="4063" w:type="pct"/>
            <w:gridSpan w:val="7"/>
          </w:tcPr>
          <w:p w14:paraId="0D524274">
            <w:pPr>
              <w:widowControl/>
              <w:spacing w:line="360" w:lineRule="atLeast"/>
              <w:jc w:val="left"/>
              <w:rPr>
                <w:rFonts w:ascii="宋体" w:hAnsi="宋体" w:eastAsia="宋体" w:cs="宋体"/>
                <w:kern w:val="0"/>
                <w:sz w:val="24"/>
                <w:szCs w:val="24"/>
              </w:rPr>
            </w:pPr>
          </w:p>
        </w:tc>
      </w:tr>
      <w:tr w14:paraId="67BC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restart"/>
          </w:tcPr>
          <w:p w14:paraId="674849F4">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单位概况</w:t>
            </w:r>
          </w:p>
        </w:tc>
        <w:tc>
          <w:tcPr>
            <w:tcW w:w="812" w:type="pct"/>
          </w:tcPr>
          <w:p w14:paraId="4BFC097F">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职工总数</w:t>
            </w:r>
          </w:p>
        </w:tc>
        <w:tc>
          <w:tcPr>
            <w:tcW w:w="3250" w:type="pct"/>
            <w:gridSpan w:val="6"/>
          </w:tcPr>
          <w:p w14:paraId="36DA77E8">
            <w:pPr>
              <w:widowControl/>
              <w:spacing w:line="360" w:lineRule="atLeast"/>
              <w:jc w:val="left"/>
              <w:rPr>
                <w:rFonts w:ascii="宋体" w:hAnsi="宋体" w:eastAsia="宋体" w:cs="宋体"/>
                <w:kern w:val="0"/>
                <w:sz w:val="24"/>
                <w:szCs w:val="24"/>
              </w:rPr>
            </w:pPr>
          </w:p>
        </w:tc>
      </w:tr>
      <w:tr w14:paraId="3569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tcPr>
          <w:p w14:paraId="1B9D59B5">
            <w:pPr>
              <w:widowControl/>
              <w:spacing w:line="360" w:lineRule="atLeast"/>
              <w:jc w:val="left"/>
              <w:rPr>
                <w:rFonts w:ascii="宋体" w:hAnsi="宋体" w:eastAsia="宋体" w:cs="宋体"/>
                <w:kern w:val="0"/>
                <w:sz w:val="24"/>
                <w:szCs w:val="24"/>
              </w:rPr>
            </w:pPr>
          </w:p>
        </w:tc>
        <w:tc>
          <w:tcPr>
            <w:tcW w:w="812" w:type="pct"/>
            <w:vMerge w:val="restart"/>
          </w:tcPr>
          <w:p w14:paraId="3EAC9CD0">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注册资金</w:t>
            </w:r>
          </w:p>
        </w:tc>
        <w:tc>
          <w:tcPr>
            <w:tcW w:w="812" w:type="pct"/>
            <w:vMerge w:val="restart"/>
          </w:tcPr>
          <w:p w14:paraId="3D65C027">
            <w:pPr>
              <w:widowControl/>
              <w:spacing w:line="360" w:lineRule="atLeast"/>
              <w:jc w:val="left"/>
              <w:rPr>
                <w:rFonts w:ascii="宋体" w:hAnsi="宋体" w:eastAsia="宋体" w:cs="宋体"/>
                <w:kern w:val="0"/>
                <w:sz w:val="24"/>
                <w:szCs w:val="24"/>
              </w:rPr>
            </w:pPr>
          </w:p>
        </w:tc>
        <w:tc>
          <w:tcPr>
            <w:tcW w:w="812" w:type="pct"/>
            <w:gridSpan w:val="2"/>
            <w:vMerge w:val="restart"/>
          </w:tcPr>
          <w:p w14:paraId="193D2B72">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资金来源</w:t>
            </w:r>
          </w:p>
        </w:tc>
        <w:tc>
          <w:tcPr>
            <w:tcW w:w="812" w:type="pct"/>
            <w:gridSpan w:val="2"/>
          </w:tcPr>
          <w:p w14:paraId="7A3DBF9B">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自有资金</w:t>
            </w:r>
          </w:p>
        </w:tc>
        <w:tc>
          <w:tcPr>
            <w:tcW w:w="813" w:type="pct"/>
          </w:tcPr>
          <w:p w14:paraId="7AEE4740">
            <w:pPr>
              <w:widowControl/>
              <w:spacing w:line="360" w:lineRule="atLeast"/>
              <w:jc w:val="right"/>
              <w:rPr>
                <w:rFonts w:ascii="宋体" w:hAnsi="宋体" w:eastAsia="宋体" w:cs="宋体"/>
                <w:kern w:val="0"/>
                <w:sz w:val="24"/>
                <w:szCs w:val="24"/>
              </w:rPr>
            </w:pPr>
            <w:r>
              <w:rPr>
                <w:rFonts w:ascii="宋体" w:hAnsi="宋体" w:eastAsia="宋体" w:cs="宋体"/>
                <w:kern w:val="0"/>
                <w:sz w:val="24"/>
                <w:szCs w:val="24"/>
              </w:rPr>
              <w:t>万元</w:t>
            </w:r>
          </w:p>
        </w:tc>
      </w:tr>
      <w:tr w14:paraId="175A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tcPr>
          <w:p w14:paraId="2D8C9BA6">
            <w:pPr>
              <w:widowControl/>
              <w:spacing w:line="360" w:lineRule="atLeast"/>
              <w:jc w:val="left"/>
              <w:rPr>
                <w:rFonts w:ascii="宋体" w:hAnsi="宋体" w:eastAsia="宋体" w:cs="宋体"/>
                <w:kern w:val="0"/>
                <w:sz w:val="24"/>
                <w:szCs w:val="24"/>
              </w:rPr>
            </w:pPr>
          </w:p>
        </w:tc>
        <w:tc>
          <w:tcPr>
            <w:tcW w:w="812" w:type="pct"/>
            <w:vMerge w:val="continue"/>
          </w:tcPr>
          <w:p w14:paraId="5251282E">
            <w:pPr>
              <w:widowControl/>
              <w:spacing w:line="360" w:lineRule="atLeast"/>
              <w:jc w:val="left"/>
              <w:rPr>
                <w:rFonts w:ascii="宋体" w:hAnsi="宋体" w:eastAsia="宋体" w:cs="宋体"/>
                <w:kern w:val="0"/>
                <w:sz w:val="24"/>
                <w:szCs w:val="24"/>
              </w:rPr>
            </w:pPr>
          </w:p>
        </w:tc>
        <w:tc>
          <w:tcPr>
            <w:tcW w:w="812" w:type="pct"/>
            <w:vMerge w:val="continue"/>
          </w:tcPr>
          <w:p w14:paraId="311302A5">
            <w:pPr>
              <w:widowControl/>
              <w:spacing w:line="360" w:lineRule="atLeast"/>
              <w:jc w:val="left"/>
              <w:rPr>
                <w:rFonts w:ascii="宋体" w:hAnsi="宋体" w:eastAsia="宋体" w:cs="宋体"/>
                <w:kern w:val="0"/>
                <w:sz w:val="24"/>
                <w:szCs w:val="24"/>
              </w:rPr>
            </w:pPr>
          </w:p>
        </w:tc>
        <w:tc>
          <w:tcPr>
            <w:tcW w:w="812" w:type="pct"/>
            <w:gridSpan w:val="2"/>
            <w:vMerge w:val="continue"/>
          </w:tcPr>
          <w:p w14:paraId="48BA6309">
            <w:pPr>
              <w:widowControl/>
              <w:spacing w:line="360" w:lineRule="atLeast"/>
              <w:jc w:val="left"/>
              <w:rPr>
                <w:rFonts w:ascii="宋体" w:hAnsi="宋体" w:eastAsia="宋体" w:cs="宋体"/>
                <w:kern w:val="0"/>
                <w:sz w:val="24"/>
                <w:szCs w:val="24"/>
              </w:rPr>
            </w:pPr>
          </w:p>
        </w:tc>
        <w:tc>
          <w:tcPr>
            <w:tcW w:w="812" w:type="pct"/>
            <w:gridSpan w:val="2"/>
          </w:tcPr>
          <w:p w14:paraId="02A68796">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银行贷款</w:t>
            </w:r>
          </w:p>
        </w:tc>
        <w:tc>
          <w:tcPr>
            <w:tcW w:w="813" w:type="pct"/>
          </w:tcPr>
          <w:p w14:paraId="5008B23D">
            <w:pPr>
              <w:widowControl/>
              <w:spacing w:line="360" w:lineRule="atLeast"/>
              <w:jc w:val="right"/>
              <w:rPr>
                <w:rFonts w:ascii="宋体" w:hAnsi="宋体" w:eastAsia="宋体" w:cs="宋体"/>
                <w:kern w:val="0"/>
                <w:sz w:val="24"/>
                <w:szCs w:val="24"/>
              </w:rPr>
            </w:pPr>
            <w:r>
              <w:rPr>
                <w:rFonts w:ascii="宋体" w:hAnsi="宋体" w:eastAsia="宋体" w:cs="宋体"/>
                <w:kern w:val="0"/>
                <w:sz w:val="24"/>
                <w:szCs w:val="24"/>
              </w:rPr>
              <w:t>万元</w:t>
            </w:r>
          </w:p>
        </w:tc>
      </w:tr>
      <w:tr w14:paraId="0D59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pct"/>
            <w:vMerge w:val="continue"/>
          </w:tcPr>
          <w:p w14:paraId="1F3AC3B5">
            <w:pPr>
              <w:widowControl/>
              <w:spacing w:line="360" w:lineRule="atLeast"/>
              <w:jc w:val="left"/>
              <w:rPr>
                <w:rFonts w:ascii="宋体" w:hAnsi="宋体" w:eastAsia="宋体" w:cs="宋体"/>
                <w:kern w:val="0"/>
                <w:sz w:val="24"/>
                <w:szCs w:val="24"/>
              </w:rPr>
            </w:pPr>
          </w:p>
        </w:tc>
        <w:tc>
          <w:tcPr>
            <w:tcW w:w="812" w:type="pct"/>
          </w:tcPr>
          <w:p w14:paraId="530803F6">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3</w:t>
            </w:r>
            <w:r>
              <w:rPr>
                <w:rFonts w:ascii="宋体" w:hAnsi="宋体" w:eastAsia="宋体" w:cs="宋体"/>
                <w:kern w:val="0"/>
                <w:sz w:val="24"/>
                <w:szCs w:val="24"/>
              </w:rPr>
              <w:t>年度</w:t>
            </w:r>
          </w:p>
          <w:p w14:paraId="39A36B66">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销售额</w:t>
            </w:r>
          </w:p>
        </w:tc>
        <w:tc>
          <w:tcPr>
            <w:tcW w:w="1082" w:type="pct"/>
            <w:gridSpan w:val="2"/>
          </w:tcPr>
          <w:p w14:paraId="7D249D14">
            <w:pPr>
              <w:widowControl/>
              <w:spacing w:line="360" w:lineRule="atLeast"/>
              <w:jc w:val="left"/>
              <w:rPr>
                <w:rFonts w:ascii="宋体" w:hAnsi="宋体" w:eastAsia="宋体" w:cs="宋体"/>
                <w:kern w:val="0"/>
                <w:sz w:val="24"/>
                <w:szCs w:val="24"/>
              </w:rPr>
            </w:pPr>
          </w:p>
        </w:tc>
        <w:tc>
          <w:tcPr>
            <w:tcW w:w="906" w:type="pct"/>
            <w:gridSpan w:val="2"/>
          </w:tcPr>
          <w:p w14:paraId="7A7AF307">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202</w:t>
            </w:r>
            <w:r>
              <w:rPr>
                <w:rFonts w:hint="eastAsia" w:ascii="宋体" w:hAnsi="宋体" w:eastAsia="宋体" w:cs="宋体"/>
                <w:kern w:val="0"/>
                <w:sz w:val="24"/>
                <w:szCs w:val="24"/>
              </w:rPr>
              <w:t>4</w:t>
            </w:r>
            <w:r>
              <w:rPr>
                <w:rFonts w:ascii="宋体" w:hAnsi="宋体" w:eastAsia="宋体" w:cs="宋体"/>
                <w:kern w:val="0"/>
                <w:sz w:val="24"/>
                <w:szCs w:val="24"/>
              </w:rPr>
              <w:t>年度</w:t>
            </w:r>
          </w:p>
          <w:p w14:paraId="42478CCF">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销售额</w:t>
            </w:r>
          </w:p>
        </w:tc>
        <w:tc>
          <w:tcPr>
            <w:tcW w:w="1261" w:type="pct"/>
            <w:gridSpan w:val="2"/>
          </w:tcPr>
          <w:p w14:paraId="3869BCCD">
            <w:pPr>
              <w:widowControl/>
              <w:spacing w:line="360" w:lineRule="atLeast"/>
              <w:jc w:val="left"/>
              <w:rPr>
                <w:rFonts w:ascii="宋体" w:hAnsi="宋体" w:eastAsia="宋体" w:cs="宋体"/>
                <w:kern w:val="0"/>
                <w:sz w:val="24"/>
                <w:szCs w:val="24"/>
              </w:rPr>
            </w:pPr>
          </w:p>
        </w:tc>
      </w:tr>
      <w:tr w14:paraId="6A10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936" w:type="pct"/>
          </w:tcPr>
          <w:p w14:paraId="51EB3CFA">
            <w:pPr>
              <w:widowControl/>
              <w:spacing w:line="360" w:lineRule="atLeast"/>
              <w:jc w:val="left"/>
              <w:rPr>
                <w:rFonts w:ascii="宋体" w:hAnsi="宋体" w:eastAsia="宋体" w:cs="宋体"/>
                <w:kern w:val="0"/>
                <w:sz w:val="24"/>
                <w:szCs w:val="24"/>
              </w:rPr>
            </w:pPr>
            <w:r>
              <w:rPr>
                <w:rFonts w:ascii="宋体" w:hAnsi="宋体" w:eastAsia="宋体" w:cs="宋体"/>
                <w:kern w:val="0"/>
                <w:sz w:val="24"/>
                <w:szCs w:val="24"/>
              </w:rPr>
              <w:t>相关业绩</w:t>
            </w:r>
          </w:p>
        </w:tc>
        <w:tc>
          <w:tcPr>
            <w:tcW w:w="4063" w:type="pct"/>
            <w:gridSpan w:val="7"/>
          </w:tcPr>
          <w:p w14:paraId="109635FF">
            <w:pPr>
              <w:widowControl/>
              <w:spacing w:line="360" w:lineRule="atLeast"/>
              <w:jc w:val="left"/>
              <w:rPr>
                <w:rFonts w:ascii="宋体" w:hAnsi="宋体" w:eastAsia="宋体" w:cs="宋体"/>
                <w:kern w:val="0"/>
                <w:sz w:val="24"/>
                <w:szCs w:val="24"/>
              </w:rPr>
            </w:pPr>
            <w:r>
              <w:rPr>
                <w:rFonts w:hint="eastAsia" w:ascii="宋体" w:hAnsi="宋体" w:eastAsia="宋体" w:cs="宋体"/>
                <w:kern w:val="0"/>
                <w:sz w:val="24"/>
                <w:szCs w:val="24"/>
              </w:rPr>
              <w:t>（附运输项目合同等业绩证明材料）</w:t>
            </w:r>
          </w:p>
        </w:tc>
      </w:tr>
    </w:tbl>
    <w:p w14:paraId="3271F3EF">
      <w:pPr>
        <w:widowControl/>
        <w:spacing w:line="360" w:lineRule="atLeast"/>
        <w:jc w:val="left"/>
        <w:rPr>
          <w:rFonts w:ascii="宋体" w:hAnsi="宋体" w:eastAsia="宋体" w:cs="宋体"/>
          <w:kern w:val="0"/>
          <w:sz w:val="24"/>
          <w:szCs w:val="24"/>
        </w:rPr>
      </w:pPr>
    </w:p>
    <w:p w14:paraId="452FA8DE">
      <w:pPr>
        <w:widowControl/>
        <w:spacing w:line="360" w:lineRule="atLeast"/>
        <w:jc w:val="left"/>
        <w:rPr>
          <w:rFonts w:ascii="宋体" w:hAnsi="宋体" w:eastAsia="宋体" w:cs="宋体"/>
          <w:kern w:val="0"/>
          <w:sz w:val="24"/>
          <w:szCs w:val="24"/>
        </w:rPr>
      </w:pPr>
    </w:p>
    <w:p w14:paraId="3E72B65B">
      <w:pPr>
        <w:widowControl/>
        <w:spacing w:line="360" w:lineRule="atLeast"/>
        <w:jc w:val="left"/>
        <w:rPr>
          <w:rFonts w:ascii="宋体" w:hAnsi="宋体" w:eastAsia="宋体" w:cs="宋体"/>
          <w:kern w:val="0"/>
          <w:sz w:val="24"/>
          <w:szCs w:val="24"/>
        </w:rPr>
      </w:pPr>
    </w:p>
    <w:p w14:paraId="439948A3">
      <w:pPr>
        <w:widowControl/>
        <w:spacing w:line="360" w:lineRule="atLeast"/>
        <w:ind w:firstLine="4560" w:firstLineChars="1900"/>
        <w:jc w:val="left"/>
        <w:rPr>
          <w:rFonts w:ascii="宋体" w:hAnsi="宋体" w:eastAsia="宋体" w:cs="宋体"/>
          <w:kern w:val="0"/>
          <w:sz w:val="24"/>
          <w:szCs w:val="24"/>
        </w:rPr>
      </w:pPr>
      <w:r>
        <w:rPr>
          <w:rFonts w:ascii="宋体" w:hAnsi="宋体" w:eastAsia="宋体" w:cs="宋体"/>
          <w:kern w:val="0"/>
          <w:sz w:val="24"/>
          <w:szCs w:val="24"/>
        </w:rPr>
        <w:t xml:space="preserve">法人代表签字： </w:t>
      </w:r>
    </w:p>
    <w:p w14:paraId="2D44BE68">
      <w:pPr>
        <w:widowControl/>
        <w:spacing w:line="360" w:lineRule="atLeast"/>
        <w:jc w:val="left"/>
        <w:rPr>
          <w:rFonts w:ascii="宋体" w:hAnsi="宋体" w:eastAsia="宋体" w:cs="宋体"/>
          <w:kern w:val="0"/>
          <w:sz w:val="24"/>
          <w:szCs w:val="24"/>
        </w:rPr>
      </w:pPr>
    </w:p>
    <w:p w14:paraId="0318F338">
      <w:pPr>
        <w:widowControl/>
        <w:spacing w:line="360" w:lineRule="atLeast"/>
        <w:ind w:firstLine="4560" w:firstLineChars="1900"/>
        <w:jc w:val="left"/>
        <w:rPr>
          <w:rFonts w:ascii="宋体" w:hAnsi="宋体" w:eastAsia="宋体" w:cs="宋体"/>
          <w:kern w:val="0"/>
          <w:sz w:val="24"/>
          <w:szCs w:val="24"/>
        </w:rPr>
      </w:pPr>
      <w:r>
        <w:rPr>
          <w:rFonts w:ascii="宋体" w:hAnsi="宋体" w:eastAsia="宋体" w:cs="宋体"/>
          <w:kern w:val="0"/>
          <w:sz w:val="24"/>
          <w:szCs w:val="24"/>
        </w:rPr>
        <w:t>投标单位全称(公章)：</w:t>
      </w:r>
    </w:p>
    <w:p w14:paraId="5232C21A">
      <w:pPr>
        <w:widowControl/>
        <w:spacing w:line="360" w:lineRule="atLeast"/>
        <w:jc w:val="left"/>
        <w:rPr>
          <w:rFonts w:ascii="宋体" w:hAnsi="宋体" w:eastAsia="宋体" w:cs="宋体"/>
          <w:kern w:val="0"/>
          <w:sz w:val="24"/>
          <w:szCs w:val="24"/>
        </w:rPr>
      </w:pPr>
    </w:p>
    <w:p w14:paraId="56E78BC5">
      <w:pPr>
        <w:pStyle w:val="16"/>
        <w:widowControl/>
        <w:spacing w:line="336" w:lineRule="auto"/>
        <w:ind w:firstLine="0" w:firstLineChars="0"/>
        <w:jc w:val="center"/>
        <w:rPr>
          <w:rFonts w:ascii="宋体" w:hAnsi="宋体" w:eastAsia="宋体" w:cs="宋体"/>
          <w:b/>
          <w:kern w:val="0"/>
          <w:sz w:val="32"/>
          <w:szCs w:val="32"/>
        </w:rPr>
      </w:pPr>
      <w:r>
        <w:rPr>
          <w:rFonts w:ascii="宋体" w:hAnsi="宋体" w:eastAsia="宋体" w:cs="宋体"/>
          <w:kern w:val="0"/>
          <w:sz w:val="24"/>
          <w:szCs w:val="24"/>
        </w:rPr>
        <w:t xml:space="preserve">日 期： </w:t>
      </w:r>
      <w:r>
        <w:rPr>
          <w:rFonts w:ascii="宋体" w:hAnsi="宋体" w:eastAsia="宋体" w:cs="宋体"/>
          <w:kern w:val="0"/>
          <w:sz w:val="24"/>
          <w:szCs w:val="24"/>
        </w:rPr>
        <w:br w:type="page"/>
      </w:r>
    </w:p>
    <w:p w14:paraId="43B11CD0">
      <w:pPr>
        <w:widowControl/>
        <w:jc w:val="left"/>
        <w:rPr>
          <w:rFonts w:ascii="宋体" w:hAnsi="宋体" w:eastAsia="宋体" w:cs="宋体"/>
          <w:b/>
          <w:kern w:val="0"/>
          <w:sz w:val="24"/>
          <w:szCs w:val="24"/>
        </w:rPr>
      </w:pPr>
      <w:r>
        <w:rPr>
          <w:rFonts w:ascii="宋体" w:hAnsi="宋体" w:eastAsia="宋体" w:cs="宋体"/>
          <w:b/>
          <w:kern w:val="0"/>
          <w:sz w:val="24"/>
          <w:szCs w:val="24"/>
        </w:rPr>
        <w:t>附件</w:t>
      </w:r>
      <w:r>
        <w:rPr>
          <w:rFonts w:hint="eastAsia" w:ascii="宋体" w:hAnsi="宋体" w:eastAsia="宋体" w:cs="宋体"/>
          <w:b/>
          <w:kern w:val="0"/>
          <w:sz w:val="24"/>
          <w:szCs w:val="24"/>
        </w:rPr>
        <w:t>2</w:t>
      </w:r>
      <w:r>
        <w:rPr>
          <w:rFonts w:ascii="宋体" w:hAnsi="宋体" w:eastAsia="宋体" w:cs="宋体"/>
          <w:b/>
          <w:kern w:val="0"/>
          <w:sz w:val="24"/>
          <w:szCs w:val="24"/>
        </w:rPr>
        <w:t>：</w:t>
      </w:r>
    </w:p>
    <w:p w14:paraId="499CEAAB">
      <w:pPr>
        <w:widowControl/>
        <w:spacing w:line="480" w:lineRule="auto"/>
        <w:jc w:val="center"/>
        <w:rPr>
          <w:rFonts w:ascii="宋体" w:hAnsi="宋体" w:eastAsia="宋体" w:cs="宋体"/>
          <w:b/>
          <w:color w:val="FF0000"/>
          <w:kern w:val="0"/>
          <w:sz w:val="28"/>
          <w:szCs w:val="28"/>
        </w:rPr>
      </w:pPr>
      <w:r>
        <w:rPr>
          <w:rFonts w:hint="eastAsia" w:ascii="宋体" w:hAnsi="宋体" w:eastAsia="宋体" w:cs="宋体"/>
          <w:b/>
          <w:kern w:val="0"/>
          <w:sz w:val="32"/>
          <w:szCs w:val="32"/>
        </w:rPr>
        <w:t>客户服务评价表</w:t>
      </w:r>
    </w:p>
    <w:p w14:paraId="2D53A1E9">
      <w:pPr>
        <w:widowControl/>
        <w:spacing w:line="480" w:lineRule="auto"/>
        <w:jc w:val="center"/>
        <w:rPr>
          <w:rFonts w:ascii="宋体" w:hAnsi="宋体" w:eastAsia="宋体" w:cs="宋体"/>
          <w:b/>
          <w:color w:val="FF0000"/>
          <w:kern w:val="0"/>
          <w:sz w:val="28"/>
          <w:szCs w:val="28"/>
        </w:rPr>
      </w:pPr>
    </w:p>
    <w:p w14:paraId="47B7E2FF">
      <w:pPr>
        <w:widowControl/>
        <w:jc w:val="left"/>
        <w:rPr>
          <w:rFonts w:ascii="宋体" w:hAnsi="宋体" w:eastAsia="宋体" w:cs="宋体"/>
          <w:kern w:val="0"/>
          <w:sz w:val="24"/>
          <w:szCs w:val="24"/>
        </w:rPr>
      </w:pPr>
      <w:r>
        <w:rPr>
          <w:rFonts w:ascii="宋体" w:hAnsi="宋体" w:eastAsia="宋体" w:cs="宋体"/>
          <w:kern w:val="0"/>
          <w:sz w:val="24"/>
          <w:szCs w:val="24"/>
        </w:rPr>
        <w:t>客户名称：</w:t>
      </w:r>
      <w:r>
        <w:rPr>
          <w:rFonts w:hint="eastAsia" w:ascii="宋体" w:hAnsi="宋体" w:eastAsia="宋体" w:cs="宋体"/>
          <w:kern w:val="0"/>
          <w:sz w:val="24"/>
          <w:szCs w:val="24"/>
        </w:rPr>
        <w:t xml:space="preserve">（签章）  </w:t>
      </w:r>
    </w:p>
    <w:p w14:paraId="56DE660A">
      <w:pPr>
        <w:widowControl/>
        <w:jc w:val="left"/>
        <w:rPr>
          <w:rFonts w:ascii="宋体" w:hAnsi="宋体" w:eastAsia="宋体" w:cs="宋体"/>
          <w:kern w:val="0"/>
          <w:sz w:val="24"/>
          <w:szCs w:val="24"/>
        </w:rPr>
      </w:pPr>
    </w:p>
    <w:p w14:paraId="4C72025F">
      <w:pPr>
        <w:widowControl/>
        <w:jc w:val="left"/>
        <w:rPr>
          <w:rFonts w:ascii="宋体" w:hAnsi="宋体" w:eastAsia="宋体" w:cs="宋体"/>
          <w:kern w:val="0"/>
          <w:sz w:val="24"/>
          <w:szCs w:val="24"/>
          <w:u w:val="single"/>
        </w:rPr>
      </w:pPr>
      <w:r>
        <w:rPr>
          <w:rFonts w:hint="eastAsia" w:ascii="宋体" w:hAnsi="宋体" w:eastAsia="宋体" w:cs="宋体"/>
          <w:kern w:val="0"/>
          <w:sz w:val="24"/>
          <w:szCs w:val="24"/>
        </w:rPr>
        <w:t>填表人：</w:t>
      </w:r>
    </w:p>
    <w:p w14:paraId="20BDE5A9">
      <w:pPr>
        <w:widowControl/>
        <w:jc w:val="left"/>
        <w:rPr>
          <w:rFonts w:ascii="宋体" w:hAnsi="宋体" w:eastAsia="宋体" w:cs="宋体"/>
          <w:kern w:val="0"/>
          <w:sz w:val="24"/>
          <w:szCs w:val="24"/>
          <w:u w:val="single"/>
        </w:rPr>
      </w:pPr>
    </w:p>
    <w:p w14:paraId="5BE803C4">
      <w:pPr>
        <w:widowControl/>
        <w:jc w:val="left"/>
        <w:rPr>
          <w:rFonts w:ascii="宋体" w:hAnsi="宋体" w:eastAsia="宋体" w:cs="宋体"/>
          <w:kern w:val="0"/>
          <w:sz w:val="24"/>
          <w:szCs w:val="24"/>
        </w:rPr>
      </w:pPr>
      <w:r>
        <w:rPr>
          <w:rFonts w:ascii="宋体" w:hAnsi="宋体" w:eastAsia="宋体" w:cs="宋体"/>
          <w:kern w:val="0"/>
          <w:sz w:val="24"/>
          <w:szCs w:val="24"/>
        </w:rPr>
        <w:t>联系方式：</w:t>
      </w:r>
    </w:p>
    <w:p w14:paraId="6AAC97B3">
      <w:pPr>
        <w:widowControl/>
        <w:jc w:val="left"/>
        <w:rPr>
          <w:rFonts w:ascii="宋体" w:hAnsi="宋体" w:eastAsia="宋体" w:cs="宋体"/>
          <w:kern w:val="0"/>
          <w:sz w:val="24"/>
          <w:szCs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276"/>
        <w:gridCol w:w="1276"/>
        <w:gridCol w:w="1300"/>
        <w:gridCol w:w="1095"/>
        <w:gridCol w:w="1095"/>
        <w:gridCol w:w="1096"/>
      </w:tblGrid>
      <w:tr w14:paraId="679F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Merge w:val="restart"/>
            <w:tcBorders>
              <w:tl2br w:val="single" w:color="auto" w:sz="4" w:space="0"/>
            </w:tcBorders>
          </w:tcPr>
          <w:p w14:paraId="2A3AF1E1">
            <w:pPr>
              <w:widowControl/>
              <w:ind w:left="630" w:leftChars="300"/>
              <w:jc w:val="left"/>
              <w:rPr>
                <w:rFonts w:ascii="宋体" w:hAnsi="宋体" w:eastAsia="宋体" w:cs="宋体"/>
                <w:kern w:val="0"/>
                <w:sz w:val="24"/>
                <w:szCs w:val="24"/>
              </w:rPr>
            </w:pPr>
            <w:r>
              <w:rPr>
                <w:rFonts w:ascii="宋体" w:hAnsi="宋体" w:eastAsia="宋体" w:cs="宋体"/>
                <w:kern w:val="0"/>
                <w:sz w:val="24"/>
                <w:szCs w:val="24"/>
              </w:rPr>
              <w:t>评分</w:t>
            </w:r>
          </w:p>
          <w:p w14:paraId="7CE2A7EF">
            <w:pPr>
              <w:widowControl/>
              <w:ind w:left="630" w:leftChars="300"/>
              <w:jc w:val="left"/>
              <w:rPr>
                <w:rFonts w:ascii="宋体" w:hAnsi="宋体" w:eastAsia="宋体" w:cs="宋体"/>
                <w:kern w:val="0"/>
                <w:sz w:val="24"/>
                <w:szCs w:val="24"/>
              </w:rPr>
            </w:pPr>
            <w:r>
              <w:rPr>
                <w:rFonts w:ascii="宋体" w:hAnsi="宋体" w:eastAsia="宋体" w:cs="宋体"/>
                <w:kern w:val="0"/>
                <w:sz w:val="24"/>
                <w:szCs w:val="24"/>
              </w:rPr>
              <w:t>内容</w:t>
            </w:r>
          </w:p>
          <w:p w14:paraId="2226049F">
            <w:pPr>
              <w:widowControl/>
              <w:jc w:val="left"/>
              <w:rPr>
                <w:rFonts w:ascii="宋体" w:hAnsi="宋体" w:eastAsia="宋体" w:cs="宋体"/>
                <w:kern w:val="0"/>
                <w:sz w:val="24"/>
                <w:szCs w:val="24"/>
              </w:rPr>
            </w:pPr>
          </w:p>
          <w:p w14:paraId="545E1ADC">
            <w:pPr>
              <w:widowControl/>
              <w:jc w:val="left"/>
              <w:rPr>
                <w:rFonts w:ascii="宋体" w:hAnsi="宋体" w:eastAsia="宋体" w:cs="宋体"/>
                <w:kern w:val="0"/>
                <w:sz w:val="24"/>
                <w:szCs w:val="24"/>
              </w:rPr>
            </w:pPr>
            <w:r>
              <w:rPr>
                <w:rFonts w:hint="eastAsia" w:ascii="宋体" w:hAnsi="宋体" w:eastAsia="宋体" w:cs="宋体"/>
                <w:kern w:val="0"/>
                <w:sz w:val="24"/>
                <w:szCs w:val="24"/>
              </w:rPr>
              <w:t>评价</w:t>
            </w:r>
          </w:p>
        </w:tc>
        <w:tc>
          <w:tcPr>
            <w:tcW w:w="3852" w:type="dxa"/>
            <w:gridSpan w:val="3"/>
            <w:vAlign w:val="center"/>
          </w:tcPr>
          <w:p w14:paraId="693975F3">
            <w:pPr>
              <w:widowControl/>
              <w:jc w:val="center"/>
              <w:rPr>
                <w:rFonts w:ascii="宋体" w:hAnsi="宋体" w:eastAsia="宋体" w:cs="宋体"/>
                <w:kern w:val="0"/>
                <w:sz w:val="24"/>
                <w:szCs w:val="24"/>
              </w:rPr>
            </w:pPr>
            <w:r>
              <w:rPr>
                <w:rFonts w:ascii="宋体" w:hAnsi="宋体" w:eastAsia="宋体" w:cs="宋体"/>
                <w:kern w:val="0"/>
                <w:sz w:val="24"/>
                <w:szCs w:val="24"/>
              </w:rPr>
              <w:t>服务</w:t>
            </w:r>
          </w:p>
        </w:tc>
        <w:tc>
          <w:tcPr>
            <w:tcW w:w="3286" w:type="dxa"/>
            <w:gridSpan w:val="3"/>
            <w:vAlign w:val="center"/>
          </w:tcPr>
          <w:p w14:paraId="50C73ECE">
            <w:pPr>
              <w:widowControl/>
              <w:jc w:val="center"/>
              <w:rPr>
                <w:rFonts w:ascii="宋体" w:hAnsi="宋体" w:eastAsia="宋体" w:cs="宋体"/>
                <w:kern w:val="0"/>
                <w:sz w:val="24"/>
                <w:szCs w:val="24"/>
              </w:rPr>
            </w:pPr>
            <w:r>
              <w:rPr>
                <w:rFonts w:ascii="宋体" w:hAnsi="宋体" w:eastAsia="宋体" w:cs="宋体"/>
                <w:kern w:val="0"/>
                <w:sz w:val="24"/>
                <w:szCs w:val="24"/>
              </w:rPr>
              <w:t>沟通</w:t>
            </w:r>
          </w:p>
        </w:tc>
      </w:tr>
      <w:tr w14:paraId="214D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Merge w:val="continue"/>
            <w:tcBorders>
              <w:tl2br w:val="single" w:color="auto" w:sz="4" w:space="0"/>
            </w:tcBorders>
          </w:tcPr>
          <w:p w14:paraId="34085A3B">
            <w:pPr>
              <w:widowControl/>
              <w:jc w:val="left"/>
              <w:rPr>
                <w:rFonts w:ascii="宋体" w:hAnsi="宋体" w:eastAsia="宋体" w:cs="宋体"/>
                <w:kern w:val="0"/>
                <w:sz w:val="24"/>
                <w:szCs w:val="24"/>
              </w:rPr>
            </w:pPr>
          </w:p>
        </w:tc>
        <w:tc>
          <w:tcPr>
            <w:tcW w:w="1276" w:type="dxa"/>
            <w:vAlign w:val="center"/>
          </w:tcPr>
          <w:p w14:paraId="59EE9FD7">
            <w:pPr>
              <w:jc w:val="center"/>
              <w:rPr>
                <w:sz w:val="24"/>
                <w:szCs w:val="24"/>
              </w:rPr>
            </w:pPr>
            <w:r>
              <w:rPr>
                <w:rFonts w:hint="eastAsia"/>
                <w:sz w:val="24"/>
                <w:szCs w:val="24"/>
              </w:rPr>
              <w:t>到位及时</w:t>
            </w:r>
          </w:p>
        </w:tc>
        <w:tc>
          <w:tcPr>
            <w:tcW w:w="1276" w:type="dxa"/>
            <w:vAlign w:val="center"/>
          </w:tcPr>
          <w:p w14:paraId="1198C9DD">
            <w:pPr>
              <w:jc w:val="center"/>
              <w:rPr>
                <w:sz w:val="24"/>
                <w:szCs w:val="24"/>
              </w:rPr>
            </w:pPr>
            <w:r>
              <w:rPr>
                <w:rFonts w:hint="eastAsia"/>
                <w:sz w:val="24"/>
                <w:szCs w:val="24"/>
              </w:rPr>
              <w:t>工作效率</w:t>
            </w:r>
          </w:p>
        </w:tc>
        <w:tc>
          <w:tcPr>
            <w:tcW w:w="1300" w:type="dxa"/>
            <w:vAlign w:val="center"/>
          </w:tcPr>
          <w:p w14:paraId="776CF83A">
            <w:pPr>
              <w:jc w:val="center"/>
              <w:rPr>
                <w:sz w:val="24"/>
                <w:szCs w:val="24"/>
              </w:rPr>
            </w:pPr>
            <w:r>
              <w:rPr>
                <w:rFonts w:hint="eastAsia"/>
                <w:sz w:val="24"/>
                <w:szCs w:val="24"/>
              </w:rPr>
              <w:t>工作态度</w:t>
            </w:r>
          </w:p>
        </w:tc>
        <w:tc>
          <w:tcPr>
            <w:tcW w:w="1095" w:type="dxa"/>
            <w:vAlign w:val="center"/>
          </w:tcPr>
          <w:p w14:paraId="46420060">
            <w:pPr>
              <w:jc w:val="center"/>
              <w:rPr>
                <w:sz w:val="24"/>
                <w:szCs w:val="24"/>
              </w:rPr>
            </w:pPr>
            <w:r>
              <w:rPr>
                <w:rFonts w:hint="eastAsia"/>
                <w:sz w:val="24"/>
                <w:szCs w:val="24"/>
              </w:rPr>
              <w:t>主动性</w:t>
            </w:r>
          </w:p>
        </w:tc>
        <w:tc>
          <w:tcPr>
            <w:tcW w:w="1095" w:type="dxa"/>
            <w:vAlign w:val="center"/>
          </w:tcPr>
          <w:p w14:paraId="7DECA39F">
            <w:pPr>
              <w:jc w:val="center"/>
              <w:rPr>
                <w:sz w:val="24"/>
                <w:szCs w:val="24"/>
              </w:rPr>
            </w:pPr>
            <w:r>
              <w:rPr>
                <w:rFonts w:hint="eastAsia"/>
                <w:sz w:val="24"/>
                <w:szCs w:val="24"/>
              </w:rPr>
              <w:t>及时性</w:t>
            </w:r>
          </w:p>
        </w:tc>
        <w:tc>
          <w:tcPr>
            <w:tcW w:w="1096" w:type="dxa"/>
            <w:vAlign w:val="center"/>
          </w:tcPr>
          <w:p w14:paraId="738D531D">
            <w:pPr>
              <w:jc w:val="center"/>
              <w:rPr>
                <w:sz w:val="24"/>
                <w:szCs w:val="24"/>
              </w:rPr>
            </w:pPr>
            <w:r>
              <w:rPr>
                <w:rFonts w:hint="eastAsia"/>
                <w:sz w:val="24"/>
                <w:szCs w:val="24"/>
              </w:rPr>
              <w:t>完整性</w:t>
            </w:r>
          </w:p>
        </w:tc>
      </w:tr>
      <w:tr w14:paraId="6F7F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Align w:val="center"/>
          </w:tcPr>
          <w:p w14:paraId="02A22A88">
            <w:pPr>
              <w:widowControl/>
              <w:jc w:val="left"/>
              <w:rPr>
                <w:rFonts w:ascii="宋体" w:hAnsi="宋体" w:eastAsia="宋体" w:cs="宋体"/>
                <w:kern w:val="0"/>
                <w:sz w:val="24"/>
                <w:szCs w:val="24"/>
              </w:rPr>
            </w:pPr>
            <w:r>
              <w:rPr>
                <w:rFonts w:ascii="宋体" w:hAnsi="宋体" w:eastAsia="宋体" w:cs="宋体"/>
                <w:kern w:val="0"/>
                <w:sz w:val="24"/>
                <w:szCs w:val="24"/>
              </w:rPr>
              <w:t>优秀</w:t>
            </w:r>
          </w:p>
        </w:tc>
        <w:tc>
          <w:tcPr>
            <w:tcW w:w="1276" w:type="dxa"/>
            <w:vAlign w:val="center"/>
          </w:tcPr>
          <w:p w14:paraId="51E172EC">
            <w:pPr>
              <w:widowControl/>
              <w:jc w:val="left"/>
              <w:rPr>
                <w:sz w:val="24"/>
                <w:szCs w:val="24"/>
              </w:rPr>
            </w:pPr>
          </w:p>
        </w:tc>
        <w:tc>
          <w:tcPr>
            <w:tcW w:w="1276" w:type="dxa"/>
            <w:vAlign w:val="center"/>
          </w:tcPr>
          <w:p w14:paraId="55E31756">
            <w:pPr>
              <w:widowControl/>
              <w:jc w:val="left"/>
              <w:rPr>
                <w:sz w:val="24"/>
                <w:szCs w:val="24"/>
              </w:rPr>
            </w:pPr>
          </w:p>
        </w:tc>
        <w:tc>
          <w:tcPr>
            <w:tcW w:w="1300" w:type="dxa"/>
            <w:vAlign w:val="center"/>
          </w:tcPr>
          <w:p w14:paraId="7634802A">
            <w:pPr>
              <w:jc w:val="center"/>
              <w:rPr>
                <w:sz w:val="24"/>
                <w:szCs w:val="24"/>
              </w:rPr>
            </w:pPr>
          </w:p>
        </w:tc>
        <w:tc>
          <w:tcPr>
            <w:tcW w:w="1095" w:type="dxa"/>
            <w:vAlign w:val="center"/>
          </w:tcPr>
          <w:p w14:paraId="59F0C3D3">
            <w:pPr>
              <w:jc w:val="center"/>
              <w:rPr>
                <w:sz w:val="24"/>
                <w:szCs w:val="24"/>
              </w:rPr>
            </w:pPr>
          </w:p>
        </w:tc>
        <w:tc>
          <w:tcPr>
            <w:tcW w:w="1095" w:type="dxa"/>
            <w:vAlign w:val="center"/>
          </w:tcPr>
          <w:p w14:paraId="234E0887">
            <w:pPr>
              <w:jc w:val="center"/>
              <w:rPr>
                <w:sz w:val="24"/>
                <w:szCs w:val="24"/>
              </w:rPr>
            </w:pPr>
          </w:p>
        </w:tc>
        <w:tc>
          <w:tcPr>
            <w:tcW w:w="1096" w:type="dxa"/>
            <w:vAlign w:val="center"/>
          </w:tcPr>
          <w:p w14:paraId="15FF9A64">
            <w:pPr>
              <w:jc w:val="center"/>
              <w:rPr>
                <w:sz w:val="28"/>
              </w:rPr>
            </w:pPr>
          </w:p>
        </w:tc>
      </w:tr>
      <w:tr w14:paraId="746E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Align w:val="center"/>
          </w:tcPr>
          <w:p w14:paraId="7DDD5E57">
            <w:pPr>
              <w:widowControl/>
              <w:jc w:val="left"/>
              <w:rPr>
                <w:rFonts w:ascii="宋体" w:hAnsi="宋体" w:eastAsia="宋体" w:cs="宋体"/>
                <w:kern w:val="0"/>
                <w:sz w:val="24"/>
                <w:szCs w:val="24"/>
              </w:rPr>
            </w:pPr>
            <w:r>
              <w:rPr>
                <w:rFonts w:ascii="宋体" w:hAnsi="宋体" w:eastAsia="宋体" w:cs="宋体"/>
                <w:kern w:val="0"/>
                <w:sz w:val="24"/>
                <w:szCs w:val="24"/>
              </w:rPr>
              <w:t>良好</w:t>
            </w:r>
          </w:p>
        </w:tc>
        <w:tc>
          <w:tcPr>
            <w:tcW w:w="1276" w:type="dxa"/>
            <w:vAlign w:val="center"/>
          </w:tcPr>
          <w:p w14:paraId="4DD90CBD">
            <w:pPr>
              <w:widowControl/>
              <w:jc w:val="left"/>
              <w:rPr>
                <w:sz w:val="24"/>
                <w:szCs w:val="24"/>
              </w:rPr>
            </w:pPr>
          </w:p>
        </w:tc>
        <w:tc>
          <w:tcPr>
            <w:tcW w:w="1276" w:type="dxa"/>
            <w:vAlign w:val="center"/>
          </w:tcPr>
          <w:p w14:paraId="3DFBD3B6">
            <w:pPr>
              <w:widowControl/>
              <w:jc w:val="left"/>
              <w:rPr>
                <w:sz w:val="24"/>
                <w:szCs w:val="24"/>
              </w:rPr>
            </w:pPr>
          </w:p>
        </w:tc>
        <w:tc>
          <w:tcPr>
            <w:tcW w:w="1300" w:type="dxa"/>
            <w:vAlign w:val="center"/>
          </w:tcPr>
          <w:p w14:paraId="0EFE5DA7">
            <w:pPr>
              <w:jc w:val="center"/>
              <w:rPr>
                <w:sz w:val="24"/>
                <w:szCs w:val="24"/>
              </w:rPr>
            </w:pPr>
          </w:p>
        </w:tc>
        <w:tc>
          <w:tcPr>
            <w:tcW w:w="1095" w:type="dxa"/>
            <w:vAlign w:val="center"/>
          </w:tcPr>
          <w:p w14:paraId="57E5A23C">
            <w:pPr>
              <w:jc w:val="center"/>
              <w:rPr>
                <w:sz w:val="24"/>
                <w:szCs w:val="24"/>
              </w:rPr>
            </w:pPr>
          </w:p>
        </w:tc>
        <w:tc>
          <w:tcPr>
            <w:tcW w:w="1095" w:type="dxa"/>
            <w:vAlign w:val="center"/>
          </w:tcPr>
          <w:p w14:paraId="52EC8576">
            <w:pPr>
              <w:jc w:val="center"/>
              <w:rPr>
                <w:sz w:val="24"/>
                <w:szCs w:val="24"/>
              </w:rPr>
            </w:pPr>
          </w:p>
        </w:tc>
        <w:tc>
          <w:tcPr>
            <w:tcW w:w="1096" w:type="dxa"/>
            <w:vAlign w:val="center"/>
          </w:tcPr>
          <w:p w14:paraId="48F72F04">
            <w:pPr>
              <w:jc w:val="center"/>
              <w:rPr>
                <w:sz w:val="28"/>
              </w:rPr>
            </w:pPr>
          </w:p>
        </w:tc>
      </w:tr>
      <w:tr w14:paraId="674B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vAlign w:val="center"/>
          </w:tcPr>
          <w:p w14:paraId="56963D30">
            <w:pPr>
              <w:widowControl/>
              <w:jc w:val="left"/>
              <w:rPr>
                <w:rFonts w:ascii="宋体" w:hAnsi="宋体" w:eastAsia="宋体" w:cs="宋体"/>
                <w:kern w:val="0"/>
                <w:sz w:val="24"/>
                <w:szCs w:val="24"/>
              </w:rPr>
            </w:pPr>
            <w:r>
              <w:rPr>
                <w:rFonts w:ascii="宋体" w:hAnsi="宋体" w:eastAsia="宋体" w:cs="宋体"/>
                <w:kern w:val="0"/>
                <w:sz w:val="24"/>
                <w:szCs w:val="24"/>
              </w:rPr>
              <w:t>一般</w:t>
            </w:r>
          </w:p>
        </w:tc>
        <w:tc>
          <w:tcPr>
            <w:tcW w:w="1276" w:type="dxa"/>
            <w:vAlign w:val="center"/>
          </w:tcPr>
          <w:p w14:paraId="36C5A6E0">
            <w:pPr>
              <w:widowControl/>
              <w:jc w:val="left"/>
              <w:rPr>
                <w:sz w:val="24"/>
                <w:szCs w:val="24"/>
              </w:rPr>
            </w:pPr>
          </w:p>
        </w:tc>
        <w:tc>
          <w:tcPr>
            <w:tcW w:w="1276" w:type="dxa"/>
            <w:vAlign w:val="center"/>
          </w:tcPr>
          <w:p w14:paraId="2304E6CB">
            <w:pPr>
              <w:widowControl/>
              <w:jc w:val="left"/>
              <w:rPr>
                <w:sz w:val="24"/>
                <w:szCs w:val="24"/>
              </w:rPr>
            </w:pPr>
          </w:p>
        </w:tc>
        <w:tc>
          <w:tcPr>
            <w:tcW w:w="1300" w:type="dxa"/>
            <w:vAlign w:val="center"/>
          </w:tcPr>
          <w:p w14:paraId="12E3CFB4">
            <w:pPr>
              <w:widowControl/>
              <w:jc w:val="left"/>
              <w:rPr>
                <w:sz w:val="24"/>
                <w:szCs w:val="24"/>
              </w:rPr>
            </w:pPr>
          </w:p>
        </w:tc>
        <w:tc>
          <w:tcPr>
            <w:tcW w:w="1095" w:type="dxa"/>
            <w:vAlign w:val="center"/>
          </w:tcPr>
          <w:p w14:paraId="5DCACAB0">
            <w:pPr>
              <w:jc w:val="center"/>
              <w:rPr>
                <w:sz w:val="24"/>
                <w:szCs w:val="24"/>
              </w:rPr>
            </w:pPr>
          </w:p>
        </w:tc>
        <w:tc>
          <w:tcPr>
            <w:tcW w:w="1095" w:type="dxa"/>
            <w:vAlign w:val="center"/>
          </w:tcPr>
          <w:p w14:paraId="46B6CA1F">
            <w:pPr>
              <w:jc w:val="center"/>
              <w:rPr>
                <w:sz w:val="24"/>
                <w:szCs w:val="24"/>
              </w:rPr>
            </w:pPr>
          </w:p>
        </w:tc>
        <w:tc>
          <w:tcPr>
            <w:tcW w:w="1096" w:type="dxa"/>
            <w:vAlign w:val="center"/>
          </w:tcPr>
          <w:p w14:paraId="313E0AA8">
            <w:pPr>
              <w:jc w:val="center"/>
              <w:rPr>
                <w:sz w:val="28"/>
              </w:rPr>
            </w:pPr>
          </w:p>
        </w:tc>
      </w:tr>
      <w:tr w14:paraId="413E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384" w:type="dxa"/>
            <w:vAlign w:val="center"/>
          </w:tcPr>
          <w:p w14:paraId="753C4ADA">
            <w:pPr>
              <w:widowControl/>
              <w:jc w:val="left"/>
              <w:rPr>
                <w:rFonts w:ascii="宋体" w:hAnsi="宋体" w:eastAsia="宋体" w:cs="宋体"/>
                <w:kern w:val="0"/>
                <w:sz w:val="24"/>
                <w:szCs w:val="24"/>
              </w:rPr>
            </w:pPr>
            <w:r>
              <w:rPr>
                <w:rFonts w:ascii="宋体" w:hAnsi="宋体" w:eastAsia="宋体" w:cs="宋体"/>
                <w:kern w:val="0"/>
                <w:sz w:val="24"/>
                <w:szCs w:val="24"/>
              </w:rPr>
              <w:t>备注</w:t>
            </w:r>
          </w:p>
        </w:tc>
        <w:tc>
          <w:tcPr>
            <w:tcW w:w="7138" w:type="dxa"/>
            <w:gridSpan w:val="6"/>
            <w:vAlign w:val="center"/>
          </w:tcPr>
          <w:p w14:paraId="7EB65895">
            <w:pPr>
              <w:jc w:val="center"/>
              <w:rPr>
                <w:sz w:val="24"/>
                <w:szCs w:val="24"/>
              </w:rPr>
            </w:pPr>
          </w:p>
        </w:tc>
      </w:tr>
      <w:tr w14:paraId="7B2A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jc w:val="center"/>
        </w:trPr>
        <w:tc>
          <w:tcPr>
            <w:tcW w:w="1384" w:type="dxa"/>
            <w:vAlign w:val="center"/>
          </w:tcPr>
          <w:p w14:paraId="120D6AF9">
            <w:pPr>
              <w:widowControl/>
              <w:jc w:val="left"/>
              <w:rPr>
                <w:rFonts w:ascii="宋体" w:hAnsi="宋体" w:eastAsia="宋体" w:cs="宋体"/>
                <w:kern w:val="0"/>
                <w:sz w:val="24"/>
                <w:szCs w:val="24"/>
              </w:rPr>
            </w:pPr>
            <w:r>
              <w:rPr>
                <w:rFonts w:ascii="宋体" w:hAnsi="宋体" w:eastAsia="宋体" w:cs="宋体"/>
                <w:kern w:val="0"/>
                <w:sz w:val="24"/>
                <w:szCs w:val="24"/>
              </w:rPr>
              <w:t>综合评分</w:t>
            </w:r>
          </w:p>
        </w:tc>
        <w:tc>
          <w:tcPr>
            <w:tcW w:w="7138" w:type="dxa"/>
            <w:gridSpan w:val="6"/>
            <w:vAlign w:val="center"/>
          </w:tcPr>
          <w:p w14:paraId="788BFD84">
            <w:pPr>
              <w:jc w:val="center"/>
              <w:rPr>
                <w:sz w:val="24"/>
                <w:szCs w:val="24"/>
              </w:rPr>
            </w:pPr>
            <w:r>
              <w:rPr>
                <w:rFonts w:hint="eastAsia" w:ascii="宋体" w:hAnsi="宋体" w:eastAsia="宋体" w:cs="宋体"/>
                <w:kern w:val="0"/>
                <w:sz w:val="24"/>
                <w:szCs w:val="24"/>
              </w:rPr>
              <w:t>□</w:t>
            </w:r>
            <w:r>
              <w:rPr>
                <w:rFonts w:ascii="宋体" w:hAnsi="宋体" w:eastAsia="宋体" w:cs="宋体"/>
                <w:kern w:val="0"/>
                <w:sz w:val="24"/>
                <w:szCs w:val="24"/>
              </w:rPr>
              <w:t>优秀</w:t>
            </w:r>
            <w:r>
              <w:rPr>
                <w:rFonts w:hint="eastAsia" w:ascii="宋体" w:hAnsi="宋体" w:eastAsia="宋体" w:cs="宋体"/>
                <w:kern w:val="0"/>
                <w:sz w:val="24"/>
                <w:szCs w:val="24"/>
              </w:rPr>
              <w:t>□</w:t>
            </w:r>
            <w:r>
              <w:rPr>
                <w:rFonts w:ascii="宋体" w:hAnsi="宋体" w:eastAsia="宋体" w:cs="宋体"/>
                <w:kern w:val="0"/>
                <w:sz w:val="24"/>
                <w:szCs w:val="24"/>
              </w:rPr>
              <w:t>良好</w:t>
            </w:r>
            <w:r>
              <w:rPr>
                <w:rFonts w:hint="eastAsia" w:ascii="宋体" w:hAnsi="宋体" w:eastAsia="宋体" w:cs="宋体"/>
                <w:kern w:val="0"/>
                <w:sz w:val="24"/>
                <w:szCs w:val="24"/>
              </w:rPr>
              <w:t>□</w:t>
            </w:r>
            <w:r>
              <w:rPr>
                <w:rFonts w:ascii="宋体" w:hAnsi="宋体" w:eastAsia="宋体" w:cs="宋体"/>
                <w:kern w:val="0"/>
                <w:sz w:val="24"/>
                <w:szCs w:val="24"/>
              </w:rPr>
              <w:t>一般</w:t>
            </w:r>
          </w:p>
        </w:tc>
      </w:tr>
    </w:tbl>
    <w:p w14:paraId="799B8D39">
      <w:pPr>
        <w:rPr>
          <w:rFonts w:ascii="宋体" w:hAnsi="宋体" w:eastAsia="宋体" w:cs="宋体"/>
          <w:kern w:val="0"/>
          <w:sz w:val="24"/>
          <w:szCs w:val="24"/>
        </w:rPr>
      </w:pPr>
      <w:r>
        <w:rPr>
          <w:rFonts w:hint="eastAsia" w:ascii="宋体" w:hAnsi="宋体" w:eastAsia="宋体" w:cs="宋体"/>
          <w:kern w:val="0"/>
          <w:sz w:val="24"/>
          <w:szCs w:val="24"/>
        </w:rPr>
        <w:t>注：请在评价相应的框内“√”。</w:t>
      </w:r>
    </w:p>
    <w:p w14:paraId="5B30FC57">
      <w:pPr>
        <w:widowControl/>
        <w:jc w:val="left"/>
        <w:rPr>
          <w:rFonts w:ascii="宋体" w:hAnsi="宋体" w:eastAsia="宋体" w:cs="宋体"/>
          <w:kern w:val="0"/>
          <w:sz w:val="24"/>
          <w:szCs w:val="24"/>
        </w:rPr>
      </w:pPr>
      <w:r>
        <w:rPr>
          <w:rFonts w:ascii="宋体" w:hAnsi="宋体" w:eastAsia="宋体" w:cs="宋体"/>
          <w:kern w:val="0"/>
          <w:sz w:val="24"/>
          <w:szCs w:val="24"/>
        </w:rPr>
        <w:br w:type="page"/>
      </w:r>
    </w:p>
    <w:p w14:paraId="2EB6C2E9">
      <w:pPr>
        <w:pStyle w:val="16"/>
        <w:widowControl/>
        <w:spacing w:line="336" w:lineRule="auto"/>
        <w:ind w:firstLine="0" w:firstLineChars="0"/>
        <w:rPr>
          <w:rFonts w:ascii="宋体" w:hAnsi="宋体" w:eastAsia="宋体" w:cs="宋体"/>
          <w:b/>
          <w:bCs/>
          <w:sz w:val="24"/>
          <w:szCs w:val="24"/>
        </w:rPr>
      </w:pPr>
      <w:r>
        <w:rPr>
          <w:rFonts w:hint="eastAsia" w:ascii="宋体" w:hAnsi="宋体" w:eastAsia="宋体" w:cs="宋体"/>
          <w:b/>
          <w:bCs/>
          <w:sz w:val="24"/>
          <w:szCs w:val="24"/>
        </w:rPr>
        <w:t>附件3：</w:t>
      </w:r>
    </w:p>
    <w:p w14:paraId="0C90BEEF">
      <w:pPr>
        <w:pStyle w:val="16"/>
        <w:widowControl/>
        <w:spacing w:line="336" w:lineRule="auto"/>
        <w:ind w:firstLine="0" w:firstLineChars="0"/>
        <w:jc w:val="center"/>
        <w:rPr>
          <w:rFonts w:ascii="宋体" w:hAnsi="宋体" w:eastAsia="宋体" w:cs="宋体"/>
          <w:b/>
          <w:bCs/>
          <w:sz w:val="24"/>
          <w:szCs w:val="24"/>
        </w:rPr>
      </w:pPr>
      <w:r>
        <w:rPr>
          <w:rFonts w:hint="eastAsia" w:ascii="宋体" w:hAnsi="宋体" w:eastAsia="宋体" w:cs="宋体"/>
          <w:b/>
          <w:bCs/>
          <w:sz w:val="28"/>
          <w:szCs w:val="28"/>
        </w:rPr>
        <w:t>资格、符合性审查表</w:t>
      </w:r>
      <w:bookmarkEnd w:id="13"/>
      <w:bookmarkEnd w:id="14"/>
    </w:p>
    <w:tbl>
      <w:tblPr>
        <w:tblStyle w:val="9"/>
        <w:tblW w:w="9521" w:type="dxa"/>
        <w:jc w:val="center"/>
        <w:tblLayout w:type="fixed"/>
        <w:tblCellMar>
          <w:top w:w="0" w:type="dxa"/>
          <w:left w:w="108" w:type="dxa"/>
          <w:bottom w:w="0" w:type="dxa"/>
          <w:right w:w="108" w:type="dxa"/>
        </w:tblCellMar>
      </w:tblPr>
      <w:tblGrid>
        <w:gridCol w:w="510"/>
        <w:gridCol w:w="7318"/>
        <w:gridCol w:w="564"/>
        <w:gridCol w:w="564"/>
        <w:gridCol w:w="565"/>
      </w:tblGrid>
      <w:tr w14:paraId="5FB04BA2">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66778B9">
            <w:pPr>
              <w:jc w:val="center"/>
              <w:rPr>
                <w:rFonts w:ascii="宋体" w:hAnsi="宋体" w:eastAsia="宋体" w:cs="宋体"/>
                <w:b/>
                <w:szCs w:val="21"/>
              </w:rPr>
            </w:pPr>
            <w:r>
              <w:rPr>
                <w:rFonts w:hint="eastAsia" w:ascii="宋体" w:hAnsi="宋体" w:eastAsia="宋体" w:cs="宋体"/>
                <w:b/>
                <w:szCs w:val="21"/>
              </w:rPr>
              <w:t>序号</w:t>
            </w:r>
          </w:p>
        </w:tc>
        <w:tc>
          <w:tcPr>
            <w:tcW w:w="7318" w:type="dxa"/>
            <w:tcBorders>
              <w:top w:val="single" w:color="auto" w:sz="4" w:space="0"/>
              <w:left w:val="single" w:color="auto" w:sz="4" w:space="0"/>
              <w:bottom w:val="single" w:color="auto" w:sz="4" w:space="0"/>
              <w:right w:val="single" w:color="auto" w:sz="4" w:space="0"/>
              <w:tl2br w:val="single" w:color="auto" w:sz="4" w:space="0"/>
            </w:tcBorders>
          </w:tcPr>
          <w:p w14:paraId="3F0A6BCE">
            <w:pPr>
              <w:jc w:val="right"/>
              <w:rPr>
                <w:rFonts w:ascii="宋体" w:hAnsi="宋体" w:eastAsia="宋体" w:cs="宋体"/>
                <w:b/>
                <w:szCs w:val="21"/>
              </w:rPr>
            </w:pPr>
            <w:r>
              <w:rPr>
                <w:rFonts w:hint="eastAsia" w:ascii="宋体" w:hAnsi="宋体" w:eastAsia="宋体" w:cs="宋体"/>
                <w:b/>
                <w:szCs w:val="21"/>
              </w:rPr>
              <w:t>投标单位</w:t>
            </w:r>
          </w:p>
          <w:p w14:paraId="7B77F36C">
            <w:pPr>
              <w:rPr>
                <w:rFonts w:ascii="宋体" w:hAnsi="宋体" w:eastAsia="宋体" w:cs="宋体"/>
                <w:b/>
                <w:szCs w:val="21"/>
              </w:rPr>
            </w:pPr>
            <w:r>
              <w:rPr>
                <w:rFonts w:hint="eastAsia" w:ascii="宋体" w:hAnsi="宋体" w:eastAsia="宋体" w:cs="宋体"/>
                <w:b/>
                <w:szCs w:val="21"/>
              </w:rPr>
              <w:t>评审内容</w:t>
            </w:r>
          </w:p>
        </w:tc>
        <w:tc>
          <w:tcPr>
            <w:tcW w:w="564" w:type="dxa"/>
            <w:tcBorders>
              <w:top w:val="single" w:color="auto" w:sz="4" w:space="0"/>
              <w:left w:val="single" w:color="auto" w:sz="4" w:space="0"/>
              <w:bottom w:val="single" w:color="auto" w:sz="4" w:space="0"/>
              <w:right w:val="single" w:color="auto" w:sz="4" w:space="0"/>
            </w:tcBorders>
          </w:tcPr>
          <w:p w14:paraId="4742BBF7">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6C683352">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0FFE604E">
            <w:pPr>
              <w:rPr>
                <w:rFonts w:ascii="宋体" w:hAnsi="宋体" w:eastAsia="宋体" w:cs="宋体"/>
                <w:szCs w:val="21"/>
              </w:rPr>
            </w:pPr>
          </w:p>
        </w:tc>
      </w:tr>
      <w:tr w14:paraId="7C2AA4DF">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6F50EE4D">
            <w:pPr>
              <w:numPr>
                <w:ilvl w:val="0"/>
                <w:numId w:val="2"/>
              </w:numPr>
              <w:spacing w:line="360" w:lineRule="auto"/>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3BC5935C">
            <w:pPr>
              <w:rPr>
                <w:rFonts w:ascii="宋体" w:hAnsi="宋体" w:eastAsia="宋体" w:cs="宋体"/>
                <w:sz w:val="24"/>
                <w:szCs w:val="24"/>
              </w:rPr>
            </w:pPr>
            <w:r>
              <w:rPr>
                <w:rFonts w:hint="eastAsia" w:ascii="宋体" w:hAnsi="宋体" w:cs="宋体"/>
                <w:kern w:val="0"/>
                <w:sz w:val="24"/>
                <w:szCs w:val="24"/>
              </w:rPr>
              <w:t>投标人应为中华人民共和国境内依法注册的独立法人，</w:t>
            </w:r>
            <w:r>
              <w:rPr>
                <w:rFonts w:hint="eastAsia" w:ascii="宋体" w:hAnsi="宋体" w:eastAsia="宋体" w:cs="宋体"/>
                <w:sz w:val="24"/>
                <w:szCs w:val="24"/>
              </w:rPr>
              <w:t>具有中国境内合法经营的营业执照、运输许可证。</w:t>
            </w:r>
          </w:p>
        </w:tc>
        <w:tc>
          <w:tcPr>
            <w:tcW w:w="564" w:type="dxa"/>
            <w:tcBorders>
              <w:top w:val="single" w:color="auto" w:sz="4" w:space="0"/>
              <w:left w:val="single" w:color="auto" w:sz="4" w:space="0"/>
              <w:bottom w:val="single" w:color="auto" w:sz="4" w:space="0"/>
              <w:right w:val="single" w:color="auto" w:sz="4" w:space="0"/>
            </w:tcBorders>
          </w:tcPr>
          <w:p w14:paraId="67C1B19D">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1D46CC37">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05B519AD">
            <w:pPr>
              <w:rPr>
                <w:rFonts w:ascii="宋体" w:hAnsi="宋体" w:eastAsia="宋体" w:cs="宋体"/>
                <w:szCs w:val="21"/>
              </w:rPr>
            </w:pPr>
          </w:p>
        </w:tc>
      </w:tr>
      <w:tr w14:paraId="1F8138CC">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4E53D2DA">
            <w:pPr>
              <w:numPr>
                <w:ilvl w:val="0"/>
                <w:numId w:val="2"/>
              </w:numPr>
              <w:spacing w:line="360" w:lineRule="auto"/>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5E2700BA">
            <w:pPr>
              <w:rPr>
                <w:rFonts w:ascii="宋体" w:hAnsi="宋体" w:cs="宋体"/>
                <w:kern w:val="0"/>
                <w:sz w:val="24"/>
                <w:szCs w:val="24"/>
              </w:rPr>
            </w:pPr>
            <w:r>
              <w:rPr>
                <w:rFonts w:hint="eastAsia" w:ascii="宋体" w:hAnsi="宋体" w:eastAsia="宋体" w:cs="宋体"/>
                <w:sz w:val="24"/>
                <w:szCs w:val="24"/>
              </w:rPr>
              <w:t>两年及以上物流、运输营运经验。</w:t>
            </w:r>
          </w:p>
        </w:tc>
        <w:tc>
          <w:tcPr>
            <w:tcW w:w="564" w:type="dxa"/>
            <w:tcBorders>
              <w:top w:val="single" w:color="auto" w:sz="4" w:space="0"/>
              <w:left w:val="single" w:color="auto" w:sz="4" w:space="0"/>
              <w:bottom w:val="single" w:color="auto" w:sz="4" w:space="0"/>
              <w:right w:val="single" w:color="auto" w:sz="4" w:space="0"/>
            </w:tcBorders>
          </w:tcPr>
          <w:p w14:paraId="70FC439F">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14BD234F">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1978EB90">
            <w:pPr>
              <w:rPr>
                <w:rFonts w:ascii="宋体" w:hAnsi="宋体" w:eastAsia="宋体" w:cs="宋体"/>
                <w:szCs w:val="21"/>
              </w:rPr>
            </w:pPr>
          </w:p>
        </w:tc>
      </w:tr>
      <w:tr w14:paraId="1B9585FE">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219A58E3">
            <w:pPr>
              <w:numPr>
                <w:ilvl w:val="0"/>
                <w:numId w:val="2"/>
              </w:numPr>
              <w:spacing w:line="360" w:lineRule="auto"/>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76047313">
            <w:pPr>
              <w:rPr>
                <w:rFonts w:ascii="宋体" w:hAnsi="宋体" w:eastAsia="宋体" w:cs="宋体"/>
                <w:sz w:val="24"/>
                <w:szCs w:val="24"/>
              </w:rPr>
            </w:pPr>
            <w:r>
              <w:rPr>
                <w:rFonts w:hint="eastAsia" w:ascii="宋体" w:hAnsi="宋体" w:cs="宋体"/>
                <w:kern w:val="0"/>
                <w:sz w:val="24"/>
                <w:szCs w:val="24"/>
              </w:rPr>
              <w:t>单位负责人为同一人或者存在控股、管理关系的不同单位，不得参与同一标段投标或者未划分标段的同一招标项目同一分包招标，本项目不接受联合体投标，不允许转包、违法分包（提供书面承诺函）。</w:t>
            </w:r>
          </w:p>
        </w:tc>
        <w:tc>
          <w:tcPr>
            <w:tcW w:w="564" w:type="dxa"/>
            <w:tcBorders>
              <w:top w:val="single" w:color="auto" w:sz="4" w:space="0"/>
              <w:left w:val="single" w:color="auto" w:sz="4" w:space="0"/>
              <w:bottom w:val="single" w:color="auto" w:sz="4" w:space="0"/>
              <w:right w:val="single" w:color="auto" w:sz="4" w:space="0"/>
            </w:tcBorders>
          </w:tcPr>
          <w:p w14:paraId="2D359445">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32D1AE2B">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655D0559">
            <w:pPr>
              <w:rPr>
                <w:rFonts w:ascii="宋体" w:hAnsi="宋体" w:eastAsia="宋体" w:cs="宋体"/>
                <w:szCs w:val="21"/>
              </w:rPr>
            </w:pPr>
          </w:p>
        </w:tc>
      </w:tr>
      <w:tr w14:paraId="5DB08F6D">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0AA0DC56">
            <w:pPr>
              <w:numPr>
                <w:ilvl w:val="0"/>
                <w:numId w:val="2"/>
              </w:numPr>
              <w:spacing w:line="360" w:lineRule="auto"/>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0ABC3673">
            <w:pPr>
              <w:rPr>
                <w:rFonts w:ascii="宋体" w:hAnsi="宋体" w:eastAsia="宋体" w:cs="宋体"/>
                <w:sz w:val="24"/>
                <w:szCs w:val="24"/>
              </w:rPr>
            </w:pPr>
            <w:r>
              <w:rPr>
                <w:rFonts w:hint="eastAsia" w:ascii="宋体" w:hAnsi="宋体" w:cs="宋体"/>
                <w:kern w:val="0"/>
                <w:sz w:val="24"/>
                <w:szCs w:val="24"/>
              </w:rPr>
              <w:t>近3年（自投标截止之日起前 36 个月）内无重大交通安全事故、重大货物损坏或丢失事故记录，无被相关行政主管部门吊销资质、责令停业整顿的行政处罚记录（提供书面承诺函）。</w:t>
            </w:r>
          </w:p>
        </w:tc>
        <w:tc>
          <w:tcPr>
            <w:tcW w:w="564" w:type="dxa"/>
            <w:tcBorders>
              <w:top w:val="single" w:color="auto" w:sz="4" w:space="0"/>
              <w:left w:val="single" w:color="auto" w:sz="4" w:space="0"/>
              <w:bottom w:val="single" w:color="auto" w:sz="4" w:space="0"/>
              <w:right w:val="single" w:color="auto" w:sz="4" w:space="0"/>
            </w:tcBorders>
          </w:tcPr>
          <w:p w14:paraId="78119D6E">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15A3C6D7">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27C05C09">
            <w:pPr>
              <w:rPr>
                <w:rFonts w:ascii="宋体" w:hAnsi="宋体" w:eastAsia="宋体" w:cs="宋体"/>
                <w:szCs w:val="21"/>
              </w:rPr>
            </w:pPr>
          </w:p>
        </w:tc>
      </w:tr>
      <w:tr w14:paraId="1404F6E9">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02FEAE51">
            <w:pPr>
              <w:numPr>
                <w:ilvl w:val="0"/>
                <w:numId w:val="2"/>
              </w:numPr>
              <w:spacing w:line="360" w:lineRule="auto"/>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0876BF0C">
            <w:pPr>
              <w:rPr>
                <w:rFonts w:ascii="宋体" w:hAnsi="宋体" w:cs="宋体"/>
                <w:kern w:val="0"/>
                <w:sz w:val="24"/>
                <w:szCs w:val="24"/>
              </w:rPr>
            </w:pPr>
            <w:r>
              <w:rPr>
                <w:rFonts w:hint="eastAsia" w:ascii="宋体" w:hAnsi="宋体" w:cs="宋体"/>
                <w:kern w:val="0"/>
                <w:sz w:val="24"/>
                <w:szCs w:val="24"/>
              </w:rPr>
              <w:t>具有健全的财务会计制度，近 3 年财务状况良好，无破产、清算等不良记录。（提供近 3 年经审计的财务报告或财务报表，新成立不足 3 年的按实际成立年限提供）。</w:t>
            </w:r>
          </w:p>
        </w:tc>
        <w:tc>
          <w:tcPr>
            <w:tcW w:w="564" w:type="dxa"/>
            <w:tcBorders>
              <w:top w:val="single" w:color="auto" w:sz="4" w:space="0"/>
              <w:left w:val="single" w:color="auto" w:sz="4" w:space="0"/>
              <w:bottom w:val="single" w:color="auto" w:sz="4" w:space="0"/>
              <w:right w:val="single" w:color="auto" w:sz="4" w:space="0"/>
            </w:tcBorders>
          </w:tcPr>
          <w:p w14:paraId="5027552E">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2B5491F1">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1614A756">
            <w:pPr>
              <w:rPr>
                <w:rFonts w:ascii="宋体" w:hAnsi="宋体" w:eastAsia="宋体" w:cs="宋体"/>
                <w:szCs w:val="21"/>
              </w:rPr>
            </w:pPr>
          </w:p>
        </w:tc>
      </w:tr>
      <w:tr w14:paraId="3BC423BC">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78F6D0FA">
            <w:pPr>
              <w:numPr>
                <w:ilvl w:val="0"/>
                <w:numId w:val="2"/>
              </w:numPr>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75278116">
            <w:pPr>
              <w:rPr>
                <w:rFonts w:ascii="宋体" w:hAnsi="宋体" w:eastAsia="宋体" w:cs="宋体"/>
                <w:sz w:val="24"/>
                <w:szCs w:val="24"/>
              </w:rPr>
            </w:pPr>
            <w:r>
              <w:rPr>
                <w:rFonts w:hint="eastAsia" w:ascii="宋体" w:hAnsi="宋体" w:cs="宋体"/>
                <w:kern w:val="0"/>
                <w:sz w:val="24"/>
                <w:szCs w:val="24"/>
              </w:rPr>
              <w:t>未被列入 “信用中国” 网站（</w:t>
            </w:r>
            <w:r>
              <w:fldChar w:fldCharType="begin"/>
            </w:r>
            <w:r>
              <w:instrText xml:space="preserve"> HYPERLINK "https://www.creditchina.gov.cn" </w:instrText>
            </w:r>
            <w:r>
              <w:fldChar w:fldCharType="separate"/>
            </w:r>
            <w:r>
              <w:rPr>
                <w:rFonts w:hint="eastAsia" w:ascii="宋体" w:hAnsi="宋体" w:cs="宋体"/>
                <w:kern w:val="0"/>
                <w:sz w:val="24"/>
                <w:szCs w:val="24"/>
              </w:rPr>
              <w:t>www.creditchina.gov.cn</w:t>
            </w:r>
            <w:r>
              <w:rPr>
                <w:rFonts w:hint="eastAsia" w:ascii="宋体" w:hAnsi="宋体" w:cs="宋体"/>
                <w:kern w:val="0"/>
                <w:sz w:val="24"/>
                <w:szCs w:val="24"/>
              </w:rPr>
              <w:fldChar w:fldCharType="end"/>
            </w:r>
            <w:r>
              <w:rPr>
                <w:rFonts w:hint="eastAsia" w:ascii="宋体" w:hAnsi="宋体" w:cs="宋体"/>
                <w:kern w:val="0"/>
                <w:sz w:val="24"/>
                <w:szCs w:val="24"/>
              </w:rPr>
              <w:t>）失信被执行人名单、重大税收违法失信主体名单，未被列入中国政府采购网（</w:t>
            </w:r>
            <w:r>
              <w:fldChar w:fldCharType="begin"/>
            </w:r>
            <w:r>
              <w:instrText xml:space="preserve"> HYPERLINK "https://www.ccgp.gov.cn" </w:instrText>
            </w:r>
            <w:r>
              <w:fldChar w:fldCharType="separate"/>
            </w:r>
            <w:r>
              <w:rPr>
                <w:rFonts w:hint="eastAsia" w:ascii="宋体" w:hAnsi="宋体" w:cs="宋体"/>
                <w:kern w:val="0"/>
                <w:sz w:val="24"/>
                <w:szCs w:val="24"/>
              </w:rPr>
              <w:t>www.ccgp.gov.cn</w:t>
            </w:r>
            <w:r>
              <w:rPr>
                <w:rFonts w:hint="eastAsia" w:ascii="宋体" w:hAnsi="宋体" w:cs="宋体"/>
                <w:kern w:val="0"/>
                <w:sz w:val="24"/>
                <w:szCs w:val="24"/>
              </w:rPr>
              <w:fldChar w:fldCharType="end"/>
            </w:r>
            <w:r>
              <w:rPr>
                <w:rFonts w:hint="eastAsia" w:ascii="宋体" w:hAnsi="宋体" w:cs="宋体"/>
                <w:kern w:val="0"/>
                <w:sz w:val="24"/>
                <w:szCs w:val="24"/>
              </w:rPr>
              <w:t>）政府采购严重违法失信行为记录名单。</w:t>
            </w:r>
          </w:p>
        </w:tc>
        <w:tc>
          <w:tcPr>
            <w:tcW w:w="564" w:type="dxa"/>
            <w:tcBorders>
              <w:top w:val="single" w:color="auto" w:sz="4" w:space="0"/>
              <w:left w:val="single" w:color="auto" w:sz="4" w:space="0"/>
              <w:bottom w:val="single" w:color="auto" w:sz="4" w:space="0"/>
              <w:right w:val="single" w:color="auto" w:sz="4" w:space="0"/>
            </w:tcBorders>
          </w:tcPr>
          <w:p w14:paraId="602646F0">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5199713C">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640822E5">
            <w:pPr>
              <w:rPr>
                <w:rFonts w:ascii="宋体" w:hAnsi="宋体" w:eastAsia="宋体" w:cs="宋体"/>
                <w:szCs w:val="21"/>
              </w:rPr>
            </w:pPr>
          </w:p>
        </w:tc>
      </w:tr>
      <w:tr w14:paraId="1342B598">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6DBA5FE0">
            <w:pPr>
              <w:numPr>
                <w:ilvl w:val="0"/>
                <w:numId w:val="2"/>
              </w:numPr>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73C0911A">
            <w:pPr>
              <w:rPr>
                <w:rFonts w:ascii="宋体" w:hAnsi="宋体" w:eastAsia="宋体" w:cs="宋体"/>
                <w:sz w:val="24"/>
                <w:szCs w:val="24"/>
              </w:rPr>
            </w:pPr>
            <w:r>
              <w:rPr>
                <w:rFonts w:hint="eastAsia" w:ascii="宋体" w:hAnsi="宋体" w:eastAsia="宋体" w:cs="宋体"/>
                <w:sz w:val="24"/>
                <w:szCs w:val="24"/>
              </w:rPr>
              <w:t>投标人须提供法定代表人证明书（原件）及法定代表人的身份证复印件并加盖单位公章；非法定代表人签署投标文件的，还须提供法定代表人授权书（原件）及授权人与被授权人的身份证复印件，并加盖单位公章。</w:t>
            </w:r>
          </w:p>
        </w:tc>
        <w:tc>
          <w:tcPr>
            <w:tcW w:w="564" w:type="dxa"/>
            <w:tcBorders>
              <w:top w:val="single" w:color="auto" w:sz="4" w:space="0"/>
              <w:left w:val="single" w:color="auto" w:sz="4" w:space="0"/>
              <w:bottom w:val="single" w:color="auto" w:sz="4" w:space="0"/>
              <w:right w:val="single" w:color="auto" w:sz="4" w:space="0"/>
            </w:tcBorders>
          </w:tcPr>
          <w:p w14:paraId="551BEC1D">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27DF3694">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6DFE7D4E">
            <w:pPr>
              <w:rPr>
                <w:rFonts w:ascii="宋体" w:hAnsi="宋体" w:eastAsia="宋体" w:cs="宋体"/>
                <w:szCs w:val="21"/>
              </w:rPr>
            </w:pPr>
          </w:p>
        </w:tc>
      </w:tr>
      <w:tr w14:paraId="32769119">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460B124F">
            <w:pPr>
              <w:numPr>
                <w:ilvl w:val="0"/>
                <w:numId w:val="2"/>
              </w:numPr>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32D7463F">
            <w:pPr>
              <w:rPr>
                <w:rFonts w:ascii="宋体" w:hAnsi="宋体" w:eastAsia="宋体" w:cs="宋体"/>
                <w:sz w:val="24"/>
                <w:szCs w:val="24"/>
              </w:rPr>
            </w:pPr>
            <w:r>
              <w:rPr>
                <w:rFonts w:hint="eastAsia" w:ascii="宋体" w:hAnsi="宋体" w:eastAsia="宋体" w:cs="宋体"/>
                <w:sz w:val="24"/>
                <w:szCs w:val="24"/>
              </w:rPr>
              <w:t>投标文件按招价文件要求盖章、密封。</w:t>
            </w:r>
          </w:p>
        </w:tc>
        <w:tc>
          <w:tcPr>
            <w:tcW w:w="564" w:type="dxa"/>
            <w:tcBorders>
              <w:top w:val="single" w:color="auto" w:sz="4" w:space="0"/>
              <w:left w:val="single" w:color="auto" w:sz="4" w:space="0"/>
              <w:bottom w:val="single" w:color="auto" w:sz="4" w:space="0"/>
              <w:right w:val="single" w:color="auto" w:sz="4" w:space="0"/>
            </w:tcBorders>
          </w:tcPr>
          <w:p w14:paraId="0C00D2D7">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41D3338A">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1D11F44C">
            <w:pPr>
              <w:rPr>
                <w:rFonts w:ascii="宋体" w:hAnsi="宋体" w:eastAsia="宋体" w:cs="宋体"/>
                <w:szCs w:val="21"/>
              </w:rPr>
            </w:pPr>
          </w:p>
        </w:tc>
      </w:tr>
      <w:tr w14:paraId="422F393C">
        <w:tblPrEx>
          <w:tblCellMar>
            <w:top w:w="0" w:type="dxa"/>
            <w:left w:w="108" w:type="dxa"/>
            <w:bottom w:w="0" w:type="dxa"/>
            <w:right w:w="108" w:type="dxa"/>
          </w:tblCellMar>
        </w:tblPrEx>
        <w:trPr>
          <w:trHeight w:val="340" w:hRule="atLeast"/>
          <w:jc w:val="center"/>
        </w:trPr>
        <w:tc>
          <w:tcPr>
            <w:tcW w:w="510" w:type="dxa"/>
            <w:tcBorders>
              <w:top w:val="single" w:color="auto" w:sz="4" w:space="0"/>
              <w:left w:val="single" w:color="auto" w:sz="4" w:space="0"/>
              <w:bottom w:val="single" w:color="auto" w:sz="4" w:space="0"/>
              <w:right w:val="single" w:color="auto" w:sz="4" w:space="0"/>
            </w:tcBorders>
            <w:vAlign w:val="center"/>
          </w:tcPr>
          <w:p w14:paraId="5EA2A439">
            <w:pPr>
              <w:numPr>
                <w:ilvl w:val="0"/>
                <w:numId w:val="2"/>
              </w:numPr>
              <w:jc w:val="center"/>
              <w:rPr>
                <w:rFonts w:ascii="宋体" w:hAnsi="宋体" w:eastAsia="宋体" w:cs="宋体"/>
                <w:sz w:val="24"/>
                <w:szCs w:val="24"/>
              </w:rPr>
            </w:pPr>
          </w:p>
        </w:tc>
        <w:tc>
          <w:tcPr>
            <w:tcW w:w="7318" w:type="dxa"/>
            <w:tcBorders>
              <w:top w:val="single" w:color="auto" w:sz="4" w:space="0"/>
              <w:left w:val="single" w:color="auto" w:sz="4" w:space="0"/>
              <w:bottom w:val="single" w:color="auto" w:sz="4" w:space="0"/>
              <w:right w:val="single" w:color="auto" w:sz="4" w:space="0"/>
            </w:tcBorders>
            <w:vAlign w:val="center"/>
          </w:tcPr>
          <w:p w14:paraId="7569075E">
            <w:pPr>
              <w:rPr>
                <w:rFonts w:ascii="宋体" w:hAnsi="宋体" w:eastAsia="宋体" w:cs="宋体"/>
                <w:kern w:val="0"/>
                <w:sz w:val="24"/>
                <w:szCs w:val="24"/>
              </w:rPr>
            </w:pPr>
            <w:r>
              <w:rPr>
                <w:rFonts w:hint="eastAsia" w:ascii="宋体" w:hAnsi="宋体" w:eastAsia="宋体" w:cs="宋体"/>
                <w:sz w:val="24"/>
                <w:szCs w:val="24"/>
              </w:rPr>
              <w:t>结论：</w:t>
            </w:r>
          </w:p>
        </w:tc>
        <w:tc>
          <w:tcPr>
            <w:tcW w:w="564" w:type="dxa"/>
            <w:tcBorders>
              <w:top w:val="single" w:color="auto" w:sz="4" w:space="0"/>
              <w:left w:val="single" w:color="auto" w:sz="4" w:space="0"/>
              <w:bottom w:val="single" w:color="auto" w:sz="4" w:space="0"/>
              <w:right w:val="single" w:color="auto" w:sz="4" w:space="0"/>
            </w:tcBorders>
          </w:tcPr>
          <w:p w14:paraId="2F059D13">
            <w:pPr>
              <w:rPr>
                <w:rFonts w:ascii="宋体" w:hAnsi="宋体" w:eastAsia="宋体" w:cs="宋体"/>
                <w:szCs w:val="21"/>
              </w:rPr>
            </w:pPr>
          </w:p>
        </w:tc>
        <w:tc>
          <w:tcPr>
            <w:tcW w:w="564" w:type="dxa"/>
            <w:tcBorders>
              <w:top w:val="single" w:color="auto" w:sz="4" w:space="0"/>
              <w:left w:val="single" w:color="auto" w:sz="4" w:space="0"/>
              <w:bottom w:val="single" w:color="auto" w:sz="4" w:space="0"/>
              <w:right w:val="single" w:color="auto" w:sz="4" w:space="0"/>
            </w:tcBorders>
          </w:tcPr>
          <w:p w14:paraId="50DD8D7A">
            <w:pPr>
              <w:rPr>
                <w:rFonts w:ascii="宋体" w:hAnsi="宋体" w:eastAsia="宋体" w:cs="宋体"/>
                <w:szCs w:val="21"/>
              </w:rPr>
            </w:pPr>
          </w:p>
        </w:tc>
        <w:tc>
          <w:tcPr>
            <w:tcW w:w="565" w:type="dxa"/>
            <w:tcBorders>
              <w:top w:val="single" w:color="auto" w:sz="4" w:space="0"/>
              <w:left w:val="single" w:color="auto" w:sz="4" w:space="0"/>
              <w:bottom w:val="single" w:color="auto" w:sz="4" w:space="0"/>
              <w:right w:val="single" w:color="auto" w:sz="4" w:space="0"/>
            </w:tcBorders>
          </w:tcPr>
          <w:p w14:paraId="6317D706">
            <w:pPr>
              <w:rPr>
                <w:rFonts w:ascii="宋体" w:hAnsi="宋体" w:eastAsia="宋体" w:cs="宋体"/>
                <w:szCs w:val="21"/>
              </w:rPr>
            </w:pPr>
          </w:p>
        </w:tc>
      </w:tr>
    </w:tbl>
    <w:p w14:paraId="16505321">
      <w:pPr>
        <w:spacing w:line="420" w:lineRule="exact"/>
        <w:rPr>
          <w:rFonts w:ascii="宋体" w:hAnsi="宋体" w:eastAsia="宋体" w:cs="宋体"/>
          <w:szCs w:val="21"/>
        </w:rPr>
      </w:pPr>
      <w:r>
        <w:rPr>
          <w:rFonts w:hint="eastAsia" w:ascii="宋体" w:hAnsi="宋体" w:eastAsia="宋体" w:cs="宋体"/>
          <w:szCs w:val="21"/>
        </w:rPr>
        <w:t>注： 1.当投标人满足审查项目中的情况时，评委在其对应栏中打“〇”，否则打“×”。上表中的结论一栏只填写“通过”或“不通过”,只有所有审查项目情况都为“〇”时结论为“通过”。</w:t>
      </w:r>
    </w:p>
    <w:p w14:paraId="1A67169E">
      <w:pPr>
        <w:numPr>
          <w:ilvl w:val="0"/>
          <w:numId w:val="3"/>
        </w:numPr>
        <w:spacing w:line="420" w:lineRule="exact"/>
        <w:ind w:left="0" w:firstLine="420" w:firstLineChars="200"/>
        <w:rPr>
          <w:rFonts w:ascii="宋体" w:hAnsi="宋体" w:eastAsia="宋体" w:cs="宋体"/>
          <w:szCs w:val="21"/>
        </w:rPr>
      </w:pPr>
      <w:r>
        <w:rPr>
          <w:rFonts w:hint="eastAsia" w:ascii="宋体" w:hAnsi="宋体" w:eastAsia="宋体" w:cs="宋体"/>
          <w:szCs w:val="21"/>
        </w:rPr>
        <w:t xml:space="preserve">如对本表中某种情形的评审意见不一致时，以评标小组过半数成员的意见作为评标小组对该情形的认定结论。 </w:t>
      </w:r>
    </w:p>
    <w:p w14:paraId="586A6BE4">
      <w:pPr>
        <w:numPr>
          <w:ilvl w:val="0"/>
          <w:numId w:val="3"/>
        </w:numPr>
        <w:spacing w:line="420" w:lineRule="exact"/>
        <w:ind w:left="0" w:firstLine="420" w:firstLineChars="200"/>
        <w:rPr>
          <w:rFonts w:ascii="宋体" w:hAnsi="宋体" w:eastAsia="宋体" w:cs="宋体"/>
          <w:szCs w:val="21"/>
        </w:rPr>
      </w:pPr>
      <w:r>
        <w:rPr>
          <w:rFonts w:hint="eastAsia" w:ascii="宋体" w:hAnsi="宋体" w:eastAsia="宋体" w:cs="宋体"/>
          <w:szCs w:val="21"/>
        </w:rPr>
        <w:t>资格审查环节中如评标小组对投标人资格审查资料有疑问，可当场或电话告知投标人，投标人可在评标现场合理的时间内以书面方式进行澄清，但不再接受其他外部材料。</w:t>
      </w:r>
    </w:p>
    <w:p w14:paraId="460CA4C6">
      <w:pPr>
        <w:numPr>
          <w:ilvl w:val="0"/>
          <w:numId w:val="3"/>
        </w:numPr>
        <w:spacing w:line="420" w:lineRule="exact"/>
        <w:ind w:left="0" w:firstLine="420" w:firstLineChars="200"/>
        <w:rPr>
          <w:rFonts w:ascii="宋体" w:hAnsi="宋体" w:eastAsia="宋体" w:cs="宋体"/>
          <w:szCs w:val="21"/>
        </w:rPr>
      </w:pPr>
      <w:r>
        <w:rPr>
          <w:rFonts w:hint="eastAsia" w:ascii="宋体" w:hAnsi="宋体" w:eastAsia="宋体" w:cs="宋体"/>
          <w:szCs w:val="21"/>
        </w:rPr>
        <w:t>不通过资格审查或投标无效的，不作符合性审查。</w:t>
      </w:r>
    </w:p>
    <w:p w14:paraId="3247E1DD">
      <w:pPr>
        <w:numPr>
          <w:ilvl w:val="0"/>
          <w:numId w:val="3"/>
        </w:numPr>
        <w:spacing w:line="420" w:lineRule="exact"/>
        <w:ind w:left="0" w:firstLine="420" w:firstLineChars="200"/>
        <w:rPr>
          <w:rFonts w:ascii="宋体" w:hAnsi="宋体" w:eastAsia="宋体" w:cs="宋体"/>
          <w:szCs w:val="21"/>
        </w:rPr>
        <w:sectPr>
          <w:footerReference r:id="rId4" w:type="first"/>
          <w:footerReference r:id="rId3" w:type="default"/>
          <w:pgSz w:w="11906" w:h="16838"/>
          <w:pgMar w:top="1440" w:right="1247" w:bottom="1440" w:left="1247" w:header="851" w:footer="992" w:gutter="0"/>
          <w:pgNumType w:start="1"/>
          <w:cols w:space="425" w:num="1"/>
          <w:docGrid w:type="lines" w:linePitch="312" w:charSpace="0"/>
        </w:sectPr>
      </w:pPr>
      <w:r>
        <w:rPr>
          <w:rFonts w:hint="eastAsia" w:ascii="宋体" w:hAnsi="宋体" w:eastAsia="宋体" w:cs="宋体"/>
          <w:szCs w:val="21"/>
        </w:rPr>
        <w:t>不通过资格审查、符合性审查或投标无效的，不进入《广柴股份本部2026年生产物资运输项目评标办法》的评分程序。</w:t>
      </w:r>
    </w:p>
    <w:p w14:paraId="0ADAE378">
      <w:pPr>
        <w:spacing w:line="360" w:lineRule="auto"/>
        <w:jc w:val="left"/>
        <w:outlineLvl w:val="3"/>
        <w:rPr>
          <w:rFonts w:ascii="宋体" w:hAnsi="宋体" w:eastAsia="宋体" w:cs="宋体"/>
          <w:b/>
          <w:bCs/>
          <w:sz w:val="24"/>
          <w:szCs w:val="24"/>
        </w:rPr>
      </w:pPr>
      <w:r>
        <w:rPr>
          <w:rFonts w:hint="eastAsia" w:ascii="宋体" w:hAnsi="宋体" w:eastAsia="宋体" w:cs="宋体"/>
          <w:b/>
          <w:bCs/>
          <w:sz w:val="24"/>
          <w:szCs w:val="24"/>
        </w:rPr>
        <w:t>附件4：</w:t>
      </w:r>
    </w:p>
    <w:p w14:paraId="6E8D640D">
      <w:pPr>
        <w:jc w:val="center"/>
        <w:rPr>
          <w:rFonts w:ascii="宋体"/>
          <w:b/>
          <w:bCs/>
          <w:sz w:val="36"/>
          <w:szCs w:val="36"/>
        </w:rPr>
      </w:pPr>
      <w:r>
        <w:rPr>
          <w:rFonts w:hint="eastAsia" w:ascii="宋体" w:hAnsi="宋体" w:cs="宋体"/>
          <w:b/>
          <w:bCs/>
          <w:sz w:val="36"/>
          <w:szCs w:val="36"/>
        </w:rPr>
        <w:t>广柴股份本部2026年生产物资运输项目评标办法</w:t>
      </w:r>
    </w:p>
    <w:p w14:paraId="720A25B7">
      <w:pPr>
        <w:spacing w:line="360" w:lineRule="auto"/>
        <w:ind w:firstLine="720" w:firstLineChars="300"/>
        <w:jc w:val="right"/>
        <w:rPr>
          <w:rFonts w:ascii="宋体" w:hAnsi="宋体" w:cs="宋体"/>
          <w:b/>
          <w:bCs/>
          <w:spacing w:val="20"/>
          <w:szCs w:val="21"/>
        </w:rPr>
      </w:pPr>
      <w:r>
        <w:rPr>
          <w:rFonts w:hint="eastAsia" w:ascii="宋体" w:hAnsi="宋体" w:cs="宋体"/>
          <w:color w:val="000000" w:themeColor="text1"/>
          <w:kern w:val="0"/>
          <w:sz w:val="24"/>
          <w:szCs w:val="24"/>
        </w:rPr>
        <w:t>GCGF-YYB-CGZB01B-2025</w:t>
      </w:r>
    </w:p>
    <w:p w14:paraId="2511133A">
      <w:pPr>
        <w:spacing w:line="360" w:lineRule="auto"/>
        <w:ind w:firstLine="549" w:firstLineChars="228"/>
        <w:rPr>
          <w:rFonts w:ascii="宋体"/>
          <w:b/>
          <w:bCs/>
          <w:sz w:val="24"/>
          <w:szCs w:val="24"/>
        </w:rPr>
      </w:pPr>
      <w:r>
        <w:rPr>
          <w:rFonts w:hint="eastAsia" w:ascii="宋体" w:hAnsi="宋体" w:cs="宋体"/>
          <w:b/>
          <w:bCs/>
          <w:sz w:val="24"/>
          <w:szCs w:val="24"/>
        </w:rPr>
        <w:t>一、评标总则</w:t>
      </w:r>
    </w:p>
    <w:p w14:paraId="24AA94CC">
      <w:pPr>
        <w:spacing w:line="360" w:lineRule="auto"/>
        <w:ind w:left="96" w:firstLine="480"/>
        <w:rPr>
          <w:rFonts w:ascii="宋体"/>
          <w:sz w:val="24"/>
          <w:szCs w:val="24"/>
        </w:rPr>
      </w:pPr>
      <w:r>
        <w:rPr>
          <w:rFonts w:ascii="宋体" w:cs="宋体"/>
          <w:sz w:val="24"/>
          <w:szCs w:val="24"/>
        </w:rPr>
        <w:t>1</w:t>
      </w:r>
      <w:r>
        <w:rPr>
          <w:rFonts w:hint="eastAsia" w:ascii="宋体" w:cs="宋体"/>
          <w:sz w:val="24"/>
          <w:szCs w:val="24"/>
        </w:rPr>
        <w:t>、本项目的评标采用</w:t>
      </w:r>
      <w:r>
        <w:rPr>
          <w:rFonts w:hint="eastAsia" w:ascii="宋体" w:hAnsi="宋体" w:cs="宋体"/>
          <w:sz w:val="24"/>
          <w:szCs w:val="24"/>
        </w:rPr>
        <w:t>综合评分法</w:t>
      </w:r>
      <w:r>
        <w:rPr>
          <w:rFonts w:hint="eastAsia" w:cs="宋体"/>
          <w:sz w:val="24"/>
          <w:szCs w:val="24"/>
        </w:rPr>
        <w:t>，</w:t>
      </w:r>
      <w:r>
        <w:rPr>
          <w:rFonts w:hint="eastAsia" w:ascii="宋体" w:hAnsi="宋体" w:cs="宋体"/>
          <w:sz w:val="24"/>
          <w:szCs w:val="24"/>
        </w:rPr>
        <w:t>总分</w:t>
      </w:r>
      <w:r>
        <w:rPr>
          <w:rFonts w:ascii="宋体" w:hAnsi="宋体" w:cs="宋体"/>
          <w:sz w:val="24"/>
          <w:szCs w:val="24"/>
        </w:rPr>
        <w:t>100</w:t>
      </w:r>
      <w:r>
        <w:rPr>
          <w:rFonts w:hint="eastAsia" w:ascii="宋体" w:hAnsi="宋体" w:cs="宋体"/>
          <w:sz w:val="24"/>
          <w:szCs w:val="24"/>
        </w:rPr>
        <w:t>分。</w:t>
      </w:r>
    </w:p>
    <w:p w14:paraId="4908ADBC">
      <w:pPr>
        <w:spacing w:line="360" w:lineRule="auto"/>
        <w:ind w:left="96" w:firstLine="480"/>
        <w:rPr>
          <w:rFonts w:ascii="宋体" w:hAnsi="宋体" w:eastAsia="宋体" w:cs="宋体"/>
          <w:b/>
          <w:bCs/>
          <w:sz w:val="24"/>
          <w:szCs w:val="24"/>
        </w:rPr>
      </w:pPr>
      <w:r>
        <w:rPr>
          <w:rFonts w:hint="eastAsia" w:ascii="宋体" w:cs="宋体"/>
          <w:sz w:val="24"/>
          <w:szCs w:val="24"/>
        </w:rPr>
        <w:t>2、</w:t>
      </w:r>
      <w:r>
        <w:rPr>
          <w:rFonts w:hint="eastAsia" w:ascii="宋体" w:hAnsi="宋体" w:cs="宋体"/>
          <w:sz w:val="24"/>
          <w:szCs w:val="24"/>
        </w:rPr>
        <w:t>在满足资格、符合性审查的前提下，对每个有效投标人的投标文件分别进行综合评分并汇总。综合得分=</w:t>
      </w:r>
      <w:r>
        <w:rPr>
          <w:rFonts w:ascii="宋体" w:hAnsi="宋体" w:eastAsia="宋体" w:cs="宋体"/>
          <w:sz w:val="24"/>
          <w:szCs w:val="24"/>
        </w:rPr>
        <w:t>经济指标</w:t>
      </w:r>
      <w:r>
        <w:rPr>
          <w:rFonts w:hint="eastAsia" w:ascii="宋体" w:hAnsi="宋体" w:eastAsia="宋体" w:cs="宋体"/>
          <w:sz w:val="24"/>
          <w:szCs w:val="24"/>
        </w:rPr>
        <w:t>得分</w:t>
      </w:r>
      <w:r>
        <w:rPr>
          <w:rFonts w:hint="eastAsia" w:ascii="宋体" w:hAnsi="宋体" w:cs="宋体"/>
          <w:sz w:val="24"/>
          <w:szCs w:val="24"/>
        </w:rPr>
        <w:t>＋</w:t>
      </w:r>
      <w:r>
        <w:rPr>
          <w:rFonts w:hint="eastAsia" w:ascii="宋体" w:hAnsi="宋体" w:eastAsia="宋体" w:cs="宋体"/>
          <w:kern w:val="0"/>
          <w:sz w:val="24"/>
          <w:szCs w:val="24"/>
        </w:rPr>
        <w:t>运输符合性得分</w:t>
      </w:r>
      <w:r>
        <w:rPr>
          <w:rFonts w:ascii="宋体" w:hAnsi="宋体" w:cs="宋体"/>
          <w:sz w:val="24"/>
          <w:szCs w:val="24"/>
        </w:rPr>
        <w:t>+</w:t>
      </w:r>
      <w:r>
        <w:rPr>
          <w:rFonts w:ascii="宋体" w:hAnsi="宋体" w:eastAsia="宋体" w:cs="宋体"/>
          <w:sz w:val="24"/>
          <w:szCs w:val="24"/>
        </w:rPr>
        <w:t>相关业绩</w:t>
      </w:r>
      <w:r>
        <w:rPr>
          <w:rFonts w:hint="eastAsia" w:ascii="宋体" w:hAnsi="宋体" w:eastAsia="宋体" w:cs="宋体"/>
          <w:sz w:val="24"/>
          <w:szCs w:val="24"/>
        </w:rPr>
        <w:t>、评价、履约能力得分，</w:t>
      </w:r>
      <w:r>
        <w:rPr>
          <w:rFonts w:hint="eastAsia" w:ascii="宋体" w:hAnsi="宋体" w:cs="宋体"/>
          <w:sz w:val="24"/>
          <w:szCs w:val="24"/>
        </w:rPr>
        <w:t>具体评分细则如下：</w:t>
      </w:r>
    </w:p>
    <w:tbl>
      <w:tblPr>
        <w:tblStyle w:val="9"/>
        <w:tblW w:w="9354" w:type="dxa"/>
        <w:jc w:val="center"/>
        <w:tblLayout w:type="fixed"/>
        <w:tblCellMar>
          <w:top w:w="0" w:type="dxa"/>
          <w:left w:w="0" w:type="dxa"/>
          <w:bottom w:w="0" w:type="dxa"/>
          <w:right w:w="0" w:type="dxa"/>
        </w:tblCellMar>
      </w:tblPr>
      <w:tblGrid>
        <w:gridCol w:w="483"/>
        <w:gridCol w:w="685"/>
        <w:gridCol w:w="493"/>
        <w:gridCol w:w="1832"/>
        <w:gridCol w:w="707"/>
        <w:gridCol w:w="5154"/>
      </w:tblGrid>
      <w:tr w14:paraId="0C8989A4">
        <w:tblPrEx>
          <w:tblCellMar>
            <w:top w:w="0" w:type="dxa"/>
            <w:left w:w="0" w:type="dxa"/>
            <w:bottom w:w="0" w:type="dxa"/>
            <w:right w:w="0" w:type="dxa"/>
          </w:tblCellMar>
        </w:tblPrEx>
        <w:trPr>
          <w:trHeight w:val="340" w:hRule="atLeast"/>
          <w:jc w:val="center"/>
        </w:trPr>
        <w:tc>
          <w:tcPr>
            <w:tcW w:w="9354"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52DBA">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评分细则</w:t>
            </w:r>
          </w:p>
        </w:tc>
      </w:tr>
      <w:tr w14:paraId="55568C0B">
        <w:tblPrEx>
          <w:tblCellMar>
            <w:top w:w="0" w:type="dxa"/>
            <w:left w:w="0" w:type="dxa"/>
            <w:bottom w:w="0" w:type="dxa"/>
            <w:right w:w="0" w:type="dxa"/>
          </w:tblCellMar>
        </w:tblPrEx>
        <w:trPr>
          <w:trHeight w:val="340" w:hRule="atLeast"/>
          <w:jc w:val="center"/>
        </w:trPr>
        <w:tc>
          <w:tcPr>
            <w:tcW w:w="483"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2A8241B">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序号</w:t>
            </w:r>
          </w:p>
        </w:tc>
        <w:tc>
          <w:tcPr>
            <w:tcW w:w="68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C9091CF">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评分因素</w:t>
            </w:r>
          </w:p>
        </w:tc>
        <w:tc>
          <w:tcPr>
            <w:tcW w:w="2325" w:type="dxa"/>
            <w:gridSpan w:val="2"/>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211A944">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评价指标</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747DA0">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满分值</w:t>
            </w:r>
          </w:p>
        </w:tc>
        <w:tc>
          <w:tcPr>
            <w:tcW w:w="5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D59F32">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评分标准</w:t>
            </w:r>
          </w:p>
        </w:tc>
      </w:tr>
      <w:tr w14:paraId="763D7B47">
        <w:tblPrEx>
          <w:tblCellMar>
            <w:top w:w="0" w:type="dxa"/>
            <w:left w:w="0" w:type="dxa"/>
            <w:bottom w:w="0" w:type="dxa"/>
            <w:right w:w="0" w:type="dxa"/>
          </w:tblCellMar>
        </w:tblPrEx>
        <w:trPr>
          <w:trHeight w:val="340" w:hRule="atLeast"/>
          <w:jc w:val="center"/>
        </w:trPr>
        <w:tc>
          <w:tcPr>
            <w:tcW w:w="48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777715B9">
            <w:pPr>
              <w:jc w:val="center"/>
              <w:rPr>
                <w:rFonts w:ascii="宋体" w:hAnsi="宋体" w:eastAsia="宋体" w:cs="宋体"/>
                <w:sz w:val="24"/>
                <w:szCs w:val="24"/>
              </w:rPr>
            </w:pPr>
            <w:r>
              <w:rPr>
                <w:rFonts w:hint="eastAsia" w:ascii="宋体" w:hAnsi="宋体" w:eastAsia="宋体" w:cs="宋体"/>
                <w:sz w:val="24"/>
                <w:szCs w:val="24"/>
              </w:rPr>
              <w:t>1</w:t>
            </w:r>
          </w:p>
        </w:tc>
        <w:tc>
          <w:tcPr>
            <w:tcW w:w="68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1800582A">
            <w:pPr>
              <w:jc w:val="center"/>
              <w:rPr>
                <w:rFonts w:ascii="宋体" w:hAnsi="宋体" w:eastAsia="宋体" w:cs="宋体"/>
                <w:sz w:val="24"/>
                <w:szCs w:val="24"/>
              </w:rPr>
            </w:pPr>
            <w:r>
              <w:rPr>
                <w:rFonts w:ascii="宋体" w:hAnsi="宋体" w:eastAsia="宋体" w:cs="宋体"/>
                <w:sz w:val="24"/>
                <w:szCs w:val="24"/>
              </w:rPr>
              <w:t>经济指标</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4EA99A0">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整机运输</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E6D3AA">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3分</w:t>
            </w:r>
          </w:p>
        </w:tc>
        <w:tc>
          <w:tcPr>
            <w:tcW w:w="5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3D8B924">
            <w:pPr>
              <w:widowControl/>
              <w:jc w:val="left"/>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1、投标人《投标报价表1》（附件5）中，各种机型单台套报价之和÷各种机型单台理论参考重量之和=投标人平均运输单价A，所有投标人平均运输单价的最低值为B。</w:t>
            </w:r>
          </w:p>
          <w:p w14:paraId="5B70C53E">
            <w:pPr>
              <w:widowControl/>
              <w:jc w:val="left"/>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2、投标人的得分=3*B/A。</w:t>
            </w:r>
          </w:p>
        </w:tc>
      </w:tr>
      <w:tr w14:paraId="35C7A134">
        <w:tblPrEx>
          <w:tblCellMar>
            <w:top w:w="0" w:type="dxa"/>
            <w:left w:w="0" w:type="dxa"/>
            <w:bottom w:w="0" w:type="dxa"/>
            <w:right w:w="0" w:type="dxa"/>
          </w:tblCellMar>
        </w:tblPrEx>
        <w:trPr>
          <w:trHeight w:val="340" w:hRule="atLeast"/>
          <w:jc w:val="center"/>
        </w:trPr>
        <w:tc>
          <w:tcPr>
            <w:tcW w:w="48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6DA476B">
            <w:pPr>
              <w:jc w:val="center"/>
              <w:rPr>
                <w:rFonts w:ascii="宋体" w:hAnsi="宋体" w:eastAsia="宋体" w:cs="宋体"/>
                <w:sz w:val="24"/>
                <w:szCs w:val="24"/>
              </w:rPr>
            </w:pPr>
          </w:p>
        </w:tc>
        <w:tc>
          <w:tcPr>
            <w:tcW w:w="68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5736296">
            <w:pPr>
              <w:jc w:val="center"/>
              <w:rPr>
                <w:rFonts w:ascii="宋体" w:hAnsi="宋体" w:eastAsia="宋体" w:cs="宋体"/>
                <w:sz w:val="24"/>
                <w:szCs w:val="24"/>
              </w:rPr>
            </w:pPr>
          </w:p>
        </w:tc>
        <w:tc>
          <w:tcPr>
            <w:tcW w:w="493" w:type="dxa"/>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
          <w:p w14:paraId="739DB8A8">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长途运输</w:t>
            </w:r>
          </w:p>
        </w:tc>
        <w:tc>
          <w:tcPr>
            <w:tcW w:w="1832"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32FDDFFC">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物资重量≤10吨</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DB0A13">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4分</w:t>
            </w:r>
          </w:p>
        </w:tc>
        <w:tc>
          <w:tcPr>
            <w:tcW w:w="515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7B64F4D9">
            <w:pPr>
              <w:widowControl/>
              <w:jc w:val="left"/>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投标人《投标报价表2》（附件6）中，评价指标对应运输吨位范围的运输单价之和的算术平均数作为投标人评价指标对应运输吨位范围的平均运输单价A，对应评价指标吨位范围所有投标人平均运输单价的最低值为B。各评价指标的满分为C（对应的满分分别为4分/6分/7分）</w:t>
            </w:r>
          </w:p>
          <w:p w14:paraId="2554036F">
            <w:pPr>
              <w:widowControl/>
              <w:jc w:val="left"/>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2、投标人的得分=C*B/A。</w:t>
            </w:r>
          </w:p>
        </w:tc>
      </w:tr>
      <w:tr w14:paraId="68448E24">
        <w:tblPrEx>
          <w:tblCellMar>
            <w:top w:w="0" w:type="dxa"/>
            <w:left w:w="0" w:type="dxa"/>
            <w:bottom w:w="0" w:type="dxa"/>
            <w:right w:w="0" w:type="dxa"/>
          </w:tblCellMar>
        </w:tblPrEx>
        <w:trPr>
          <w:trHeight w:val="340" w:hRule="atLeast"/>
          <w:jc w:val="center"/>
        </w:trPr>
        <w:tc>
          <w:tcPr>
            <w:tcW w:w="48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7883C88B">
            <w:pPr>
              <w:jc w:val="center"/>
              <w:rPr>
                <w:rFonts w:ascii="宋体" w:hAnsi="宋体" w:eastAsia="宋体" w:cs="宋体"/>
                <w:sz w:val="24"/>
                <w:szCs w:val="24"/>
              </w:rPr>
            </w:pPr>
          </w:p>
        </w:tc>
        <w:tc>
          <w:tcPr>
            <w:tcW w:w="68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1F5C76E5">
            <w:pPr>
              <w:jc w:val="center"/>
              <w:rPr>
                <w:rFonts w:ascii="宋体" w:hAnsi="宋体" w:eastAsia="宋体" w:cs="宋体"/>
                <w:sz w:val="24"/>
                <w:szCs w:val="24"/>
              </w:rPr>
            </w:pPr>
          </w:p>
        </w:tc>
        <w:tc>
          <w:tcPr>
            <w:tcW w:w="493"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7B31BD33">
            <w:pPr>
              <w:widowControl/>
              <w:jc w:val="center"/>
              <w:textAlignment w:val="center"/>
              <w:rPr>
                <w:rFonts w:ascii="宋体" w:hAnsi="宋体" w:eastAsia="宋体" w:cs="宋体"/>
                <w:kern w:val="0"/>
                <w:sz w:val="24"/>
                <w:szCs w:val="24"/>
              </w:rPr>
            </w:pPr>
          </w:p>
        </w:tc>
        <w:tc>
          <w:tcPr>
            <w:tcW w:w="1832"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354DC387">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10吨&lt;物资重量≤20吨</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E9462AB">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6分</w:t>
            </w:r>
          </w:p>
        </w:tc>
        <w:tc>
          <w:tcPr>
            <w:tcW w:w="51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7FEE3B48">
            <w:pPr>
              <w:widowControl/>
              <w:jc w:val="left"/>
              <w:textAlignment w:val="center"/>
              <w:rPr>
                <w:rFonts w:ascii="宋体" w:hAnsi="宋体" w:eastAsia="宋体" w:cs="宋体"/>
                <w:color w:val="000000" w:themeColor="text1"/>
                <w:kern w:val="0"/>
                <w:sz w:val="24"/>
                <w:szCs w:val="24"/>
              </w:rPr>
            </w:pPr>
          </w:p>
        </w:tc>
      </w:tr>
      <w:tr w14:paraId="028D9A98">
        <w:tblPrEx>
          <w:tblCellMar>
            <w:top w:w="0" w:type="dxa"/>
            <w:left w:w="0" w:type="dxa"/>
            <w:bottom w:w="0" w:type="dxa"/>
            <w:right w:w="0" w:type="dxa"/>
          </w:tblCellMar>
        </w:tblPrEx>
        <w:trPr>
          <w:trHeight w:val="340" w:hRule="atLeast"/>
          <w:jc w:val="center"/>
        </w:trPr>
        <w:tc>
          <w:tcPr>
            <w:tcW w:w="48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6F71433">
            <w:pPr>
              <w:jc w:val="center"/>
              <w:rPr>
                <w:rFonts w:ascii="宋体" w:hAnsi="宋体" w:eastAsia="宋体" w:cs="宋体"/>
                <w:sz w:val="24"/>
                <w:szCs w:val="24"/>
              </w:rPr>
            </w:pPr>
          </w:p>
        </w:tc>
        <w:tc>
          <w:tcPr>
            <w:tcW w:w="68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438B619C">
            <w:pPr>
              <w:jc w:val="center"/>
              <w:rPr>
                <w:rFonts w:ascii="宋体" w:hAnsi="宋体" w:eastAsia="宋体" w:cs="宋体"/>
                <w:sz w:val="24"/>
                <w:szCs w:val="24"/>
              </w:rPr>
            </w:pPr>
          </w:p>
        </w:tc>
        <w:tc>
          <w:tcPr>
            <w:tcW w:w="493"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2B4D5228">
            <w:pPr>
              <w:widowControl/>
              <w:jc w:val="center"/>
              <w:textAlignment w:val="center"/>
              <w:rPr>
                <w:rFonts w:ascii="宋体" w:hAnsi="宋体" w:eastAsia="宋体" w:cs="宋体"/>
                <w:kern w:val="0"/>
                <w:sz w:val="24"/>
                <w:szCs w:val="24"/>
              </w:rPr>
            </w:pPr>
          </w:p>
        </w:tc>
        <w:tc>
          <w:tcPr>
            <w:tcW w:w="1832"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50D92C8A">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物资重量&gt;20吨</w:t>
            </w:r>
          </w:p>
        </w:tc>
        <w:tc>
          <w:tcPr>
            <w:tcW w:w="70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14:paraId="5734D50E">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7分</w:t>
            </w:r>
          </w:p>
        </w:tc>
        <w:tc>
          <w:tcPr>
            <w:tcW w:w="5154"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14:paraId="4980DB50">
            <w:pPr>
              <w:widowControl/>
              <w:jc w:val="left"/>
              <w:textAlignment w:val="center"/>
              <w:rPr>
                <w:rFonts w:ascii="宋体" w:hAnsi="宋体" w:eastAsia="宋体" w:cs="宋体"/>
                <w:color w:val="000000" w:themeColor="text1"/>
                <w:kern w:val="0"/>
                <w:sz w:val="24"/>
                <w:szCs w:val="24"/>
              </w:rPr>
            </w:pPr>
          </w:p>
        </w:tc>
      </w:tr>
      <w:tr w14:paraId="63368162">
        <w:tblPrEx>
          <w:tblCellMar>
            <w:top w:w="0" w:type="dxa"/>
            <w:left w:w="0" w:type="dxa"/>
            <w:bottom w:w="0" w:type="dxa"/>
            <w:right w:w="0" w:type="dxa"/>
          </w:tblCellMar>
        </w:tblPrEx>
        <w:trPr>
          <w:trHeight w:val="340" w:hRule="atLeast"/>
          <w:jc w:val="center"/>
        </w:trPr>
        <w:tc>
          <w:tcPr>
            <w:tcW w:w="48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2B53724B">
            <w:pPr>
              <w:jc w:val="center"/>
              <w:rPr>
                <w:rFonts w:ascii="宋体" w:hAnsi="宋体" w:eastAsia="宋体" w:cs="宋体"/>
                <w:sz w:val="24"/>
                <w:szCs w:val="24"/>
              </w:rPr>
            </w:pPr>
          </w:p>
        </w:tc>
        <w:tc>
          <w:tcPr>
            <w:tcW w:w="68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2E64C111">
            <w:pPr>
              <w:jc w:val="center"/>
              <w:rPr>
                <w:rFonts w:ascii="宋体" w:hAnsi="宋体" w:eastAsia="宋体" w:cs="宋体"/>
                <w:sz w:val="24"/>
                <w:szCs w:val="24"/>
              </w:rPr>
            </w:pPr>
          </w:p>
        </w:tc>
        <w:tc>
          <w:tcPr>
            <w:tcW w:w="493" w:type="dxa"/>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
          <w:p w14:paraId="7E7B6525">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短途运输</w:t>
            </w:r>
          </w:p>
        </w:tc>
        <w:tc>
          <w:tcPr>
            <w:tcW w:w="1832"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639C6649">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物资重量≤2吨</w:t>
            </w:r>
          </w:p>
        </w:tc>
        <w:tc>
          <w:tcPr>
            <w:tcW w:w="707"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EF36679">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16分</w:t>
            </w:r>
          </w:p>
        </w:tc>
        <w:tc>
          <w:tcPr>
            <w:tcW w:w="5154" w:type="dxa"/>
            <w:vMerge w:val="restart"/>
            <w:tcBorders>
              <w:top w:val="single" w:color="auto" w:sz="4" w:space="0"/>
              <w:left w:val="single" w:color="000000" w:sz="4" w:space="0"/>
              <w:right w:val="single" w:color="000000" w:sz="4" w:space="0"/>
            </w:tcBorders>
            <w:shd w:val="clear" w:color="auto" w:fill="auto"/>
            <w:tcMar>
              <w:top w:w="10" w:type="dxa"/>
              <w:left w:w="10" w:type="dxa"/>
              <w:right w:w="10" w:type="dxa"/>
            </w:tcMar>
            <w:vAlign w:val="center"/>
          </w:tcPr>
          <w:p w14:paraId="24478CB8">
            <w:pPr>
              <w:widowControl/>
              <w:jc w:val="left"/>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投标人《投标报价表3》（附件7）中，评价指标对应运输吨位范围的运输单价之和的算术平均数作为投标人评价指标对应运输吨位范围的平均运输单价A，对应评价指标吨位范围所有投标人平均运输单价的最低值为B。各评价指标的满分为C（对应的满分分别为16分/17分/13分/9分）</w:t>
            </w:r>
          </w:p>
          <w:p w14:paraId="6874F1C7">
            <w:pPr>
              <w:widowControl/>
              <w:jc w:val="left"/>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2、投标人的得分=C*B/A。</w:t>
            </w:r>
          </w:p>
        </w:tc>
      </w:tr>
      <w:tr w14:paraId="33FB7B00">
        <w:tblPrEx>
          <w:tblCellMar>
            <w:top w:w="0" w:type="dxa"/>
            <w:left w:w="0" w:type="dxa"/>
            <w:bottom w:w="0" w:type="dxa"/>
            <w:right w:w="0" w:type="dxa"/>
          </w:tblCellMar>
        </w:tblPrEx>
        <w:trPr>
          <w:trHeight w:val="340" w:hRule="atLeast"/>
          <w:jc w:val="center"/>
        </w:trPr>
        <w:tc>
          <w:tcPr>
            <w:tcW w:w="48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7D412940">
            <w:pPr>
              <w:jc w:val="center"/>
              <w:rPr>
                <w:rFonts w:ascii="宋体" w:hAnsi="宋体" w:eastAsia="宋体" w:cs="宋体"/>
                <w:sz w:val="24"/>
                <w:szCs w:val="24"/>
              </w:rPr>
            </w:pPr>
          </w:p>
        </w:tc>
        <w:tc>
          <w:tcPr>
            <w:tcW w:w="68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9B31A38">
            <w:pPr>
              <w:jc w:val="center"/>
              <w:rPr>
                <w:rFonts w:ascii="宋体" w:hAnsi="宋体" w:eastAsia="宋体" w:cs="宋体"/>
                <w:sz w:val="24"/>
                <w:szCs w:val="24"/>
              </w:rPr>
            </w:pPr>
          </w:p>
        </w:tc>
        <w:tc>
          <w:tcPr>
            <w:tcW w:w="493"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2D87A345">
            <w:pPr>
              <w:widowControl/>
              <w:jc w:val="center"/>
              <w:textAlignment w:val="center"/>
              <w:rPr>
                <w:rFonts w:ascii="宋体" w:hAnsi="宋体" w:eastAsia="宋体" w:cs="宋体"/>
                <w:kern w:val="0"/>
                <w:sz w:val="24"/>
                <w:szCs w:val="24"/>
              </w:rPr>
            </w:pPr>
          </w:p>
        </w:tc>
        <w:tc>
          <w:tcPr>
            <w:tcW w:w="1832"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7D4C7DA4">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2吨&lt;物资重量≤8吨</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A393BDE">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17分</w:t>
            </w:r>
          </w:p>
        </w:tc>
        <w:tc>
          <w:tcPr>
            <w:tcW w:w="51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023E684E">
            <w:pPr>
              <w:widowControl/>
              <w:jc w:val="left"/>
              <w:textAlignment w:val="center"/>
              <w:rPr>
                <w:rFonts w:ascii="宋体" w:hAnsi="宋体" w:eastAsia="宋体" w:cs="宋体"/>
                <w:color w:val="000000" w:themeColor="text1"/>
                <w:kern w:val="0"/>
                <w:sz w:val="24"/>
                <w:szCs w:val="24"/>
              </w:rPr>
            </w:pPr>
          </w:p>
        </w:tc>
      </w:tr>
      <w:tr w14:paraId="098EC5CC">
        <w:tblPrEx>
          <w:tblCellMar>
            <w:top w:w="0" w:type="dxa"/>
            <w:left w:w="0" w:type="dxa"/>
            <w:bottom w:w="0" w:type="dxa"/>
            <w:right w:w="0" w:type="dxa"/>
          </w:tblCellMar>
        </w:tblPrEx>
        <w:trPr>
          <w:trHeight w:val="340" w:hRule="atLeast"/>
          <w:jc w:val="center"/>
        </w:trPr>
        <w:tc>
          <w:tcPr>
            <w:tcW w:w="48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56E4025">
            <w:pPr>
              <w:jc w:val="center"/>
              <w:rPr>
                <w:rFonts w:ascii="宋体" w:hAnsi="宋体" w:eastAsia="宋体" w:cs="宋体"/>
                <w:sz w:val="24"/>
                <w:szCs w:val="24"/>
              </w:rPr>
            </w:pPr>
          </w:p>
        </w:tc>
        <w:tc>
          <w:tcPr>
            <w:tcW w:w="68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64D3259C">
            <w:pPr>
              <w:jc w:val="center"/>
              <w:rPr>
                <w:rFonts w:ascii="宋体" w:hAnsi="宋体" w:eastAsia="宋体" w:cs="宋体"/>
                <w:sz w:val="24"/>
                <w:szCs w:val="24"/>
              </w:rPr>
            </w:pPr>
          </w:p>
        </w:tc>
        <w:tc>
          <w:tcPr>
            <w:tcW w:w="493" w:type="dxa"/>
            <w:vMerge w:val="continue"/>
            <w:tcBorders>
              <w:left w:val="single" w:color="000000" w:sz="4" w:space="0"/>
              <w:right w:val="single" w:color="auto" w:sz="4" w:space="0"/>
            </w:tcBorders>
            <w:shd w:val="clear" w:color="auto" w:fill="auto"/>
            <w:tcMar>
              <w:top w:w="10" w:type="dxa"/>
              <w:left w:w="10" w:type="dxa"/>
              <w:right w:w="10" w:type="dxa"/>
            </w:tcMar>
            <w:vAlign w:val="center"/>
          </w:tcPr>
          <w:p w14:paraId="75313AEE">
            <w:pPr>
              <w:widowControl/>
              <w:jc w:val="center"/>
              <w:textAlignment w:val="center"/>
              <w:rPr>
                <w:rFonts w:ascii="宋体" w:hAnsi="宋体" w:eastAsia="宋体" w:cs="宋体"/>
                <w:kern w:val="0"/>
                <w:sz w:val="24"/>
                <w:szCs w:val="24"/>
              </w:rPr>
            </w:pPr>
          </w:p>
        </w:tc>
        <w:tc>
          <w:tcPr>
            <w:tcW w:w="1832"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5E5F3762">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8吨&lt;物资重量≤15吨</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5EBB02">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13分</w:t>
            </w:r>
          </w:p>
        </w:tc>
        <w:tc>
          <w:tcPr>
            <w:tcW w:w="515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7EC558C8">
            <w:pPr>
              <w:widowControl/>
              <w:jc w:val="left"/>
              <w:textAlignment w:val="center"/>
              <w:rPr>
                <w:rFonts w:ascii="宋体" w:hAnsi="宋体" w:eastAsia="宋体" w:cs="宋体"/>
                <w:color w:val="000000" w:themeColor="text1"/>
                <w:kern w:val="0"/>
                <w:sz w:val="24"/>
                <w:szCs w:val="24"/>
              </w:rPr>
            </w:pPr>
          </w:p>
        </w:tc>
      </w:tr>
      <w:tr w14:paraId="5512B39A">
        <w:tblPrEx>
          <w:tblCellMar>
            <w:top w:w="0" w:type="dxa"/>
            <w:left w:w="0" w:type="dxa"/>
            <w:bottom w:w="0" w:type="dxa"/>
            <w:right w:w="0" w:type="dxa"/>
          </w:tblCellMar>
        </w:tblPrEx>
        <w:trPr>
          <w:trHeight w:val="340" w:hRule="atLeast"/>
          <w:jc w:val="center"/>
        </w:trPr>
        <w:tc>
          <w:tcPr>
            <w:tcW w:w="483"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BCCCFEC">
            <w:pPr>
              <w:jc w:val="center"/>
              <w:rPr>
                <w:rFonts w:ascii="宋体" w:hAnsi="宋体" w:eastAsia="宋体" w:cs="宋体"/>
                <w:sz w:val="24"/>
                <w:szCs w:val="24"/>
              </w:rPr>
            </w:pPr>
          </w:p>
        </w:tc>
        <w:tc>
          <w:tcPr>
            <w:tcW w:w="68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5CD28F4">
            <w:pPr>
              <w:jc w:val="center"/>
              <w:rPr>
                <w:rFonts w:ascii="宋体" w:hAnsi="宋体" w:eastAsia="宋体" w:cs="宋体"/>
                <w:sz w:val="24"/>
                <w:szCs w:val="24"/>
              </w:rPr>
            </w:pPr>
          </w:p>
        </w:tc>
        <w:tc>
          <w:tcPr>
            <w:tcW w:w="493"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3CD36FD0">
            <w:pPr>
              <w:widowControl/>
              <w:jc w:val="center"/>
              <w:textAlignment w:val="center"/>
              <w:rPr>
                <w:rFonts w:ascii="宋体" w:hAnsi="宋体" w:eastAsia="宋体" w:cs="宋体"/>
                <w:kern w:val="0"/>
                <w:sz w:val="24"/>
                <w:szCs w:val="24"/>
              </w:rPr>
            </w:pPr>
          </w:p>
        </w:tc>
        <w:tc>
          <w:tcPr>
            <w:tcW w:w="1832"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5AE428F4">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15吨&lt;物资重量≤32吨</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88B4C74">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9分</w:t>
            </w:r>
          </w:p>
        </w:tc>
        <w:tc>
          <w:tcPr>
            <w:tcW w:w="515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9DD4E2">
            <w:pPr>
              <w:widowControl/>
              <w:jc w:val="left"/>
              <w:textAlignment w:val="center"/>
              <w:rPr>
                <w:rFonts w:ascii="宋体" w:hAnsi="宋体" w:eastAsia="宋体" w:cs="宋体"/>
                <w:color w:val="000000" w:themeColor="text1"/>
                <w:kern w:val="0"/>
                <w:sz w:val="24"/>
                <w:szCs w:val="24"/>
              </w:rPr>
            </w:pPr>
          </w:p>
        </w:tc>
      </w:tr>
      <w:tr w14:paraId="0208C88F">
        <w:tblPrEx>
          <w:tblCellMar>
            <w:top w:w="0" w:type="dxa"/>
            <w:left w:w="0" w:type="dxa"/>
            <w:bottom w:w="0" w:type="dxa"/>
            <w:right w:w="0" w:type="dxa"/>
          </w:tblCellMar>
        </w:tblPrEx>
        <w:trPr>
          <w:trHeight w:val="377" w:hRule="atLeast"/>
          <w:jc w:val="center"/>
        </w:trPr>
        <w:tc>
          <w:tcPr>
            <w:tcW w:w="48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266338C4">
            <w:pPr>
              <w:widowControl/>
              <w:jc w:val="center"/>
              <w:textAlignment w:val="center"/>
              <w:rPr>
                <w:rFonts w:ascii="宋体" w:hAnsi="宋体" w:eastAsia="宋体" w:cs="宋体"/>
                <w:kern w:val="0"/>
                <w:sz w:val="24"/>
                <w:szCs w:val="24"/>
              </w:rPr>
            </w:pPr>
            <w:r>
              <w:rPr>
                <w:rFonts w:ascii="宋体" w:hAnsi="宋体" w:eastAsia="宋体" w:cs="宋体"/>
                <w:kern w:val="0"/>
                <w:sz w:val="24"/>
                <w:szCs w:val="24"/>
              </w:rPr>
              <w:t>2</w:t>
            </w:r>
          </w:p>
        </w:tc>
        <w:tc>
          <w:tcPr>
            <w:tcW w:w="68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35A56BCB">
            <w:pPr>
              <w:widowControl/>
              <w:jc w:val="left"/>
              <w:textAlignment w:val="center"/>
              <w:rPr>
                <w:rFonts w:ascii="宋体" w:hAnsi="宋体" w:eastAsia="宋体" w:cs="宋体"/>
                <w:kern w:val="0"/>
                <w:sz w:val="24"/>
                <w:szCs w:val="24"/>
              </w:rPr>
            </w:pPr>
            <w:r>
              <w:rPr>
                <w:rFonts w:hint="eastAsia" w:ascii="宋体" w:hAnsi="宋体" w:eastAsia="宋体" w:cs="宋体"/>
                <w:kern w:val="0"/>
                <w:sz w:val="24"/>
                <w:szCs w:val="24"/>
              </w:rPr>
              <w:t>运输符合性</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EC4027">
            <w:pPr>
              <w:widowControl/>
              <w:jc w:val="center"/>
              <w:textAlignment w:val="center"/>
              <w:rPr>
                <w:rFonts w:ascii="宋体" w:hAnsi="宋体" w:eastAsia="宋体" w:cs="宋体"/>
                <w:sz w:val="24"/>
                <w:szCs w:val="24"/>
              </w:rPr>
            </w:pPr>
            <w:r>
              <w:rPr>
                <w:rFonts w:hint="eastAsia" w:ascii="宋体" w:hAnsi="宋体" w:eastAsia="宋体" w:cs="宋体"/>
                <w:sz w:val="24"/>
                <w:szCs w:val="24"/>
              </w:rPr>
              <w:t>运输车辆要求</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F4E45E">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3分</w:t>
            </w:r>
          </w:p>
        </w:tc>
        <w:tc>
          <w:tcPr>
            <w:tcW w:w="5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A1BCA">
            <w:pPr>
              <w:widowControl/>
              <w:jc w:val="left"/>
              <w:rPr>
                <w:rFonts w:ascii="宋体" w:hAnsi="宋体" w:eastAsia="宋体" w:cs="宋体"/>
                <w:kern w:val="0"/>
                <w:sz w:val="24"/>
                <w:szCs w:val="24"/>
              </w:rPr>
            </w:pPr>
            <w:r>
              <w:rPr>
                <w:rFonts w:ascii="宋体" w:hAnsi="宋体" w:eastAsia="宋体" w:cs="宋体"/>
                <w:kern w:val="0"/>
                <w:sz w:val="24"/>
                <w:szCs w:val="24"/>
              </w:rPr>
              <w:t>提供的运输车辆型号与项目</w:t>
            </w:r>
            <w:r>
              <w:rPr>
                <w:rFonts w:hint="eastAsia" w:ascii="宋体" w:hAnsi="宋体" w:eastAsia="宋体" w:cs="宋体"/>
                <w:kern w:val="0"/>
                <w:sz w:val="24"/>
                <w:szCs w:val="24"/>
              </w:rPr>
              <w:t>运输</w:t>
            </w:r>
            <w:r>
              <w:rPr>
                <w:rFonts w:ascii="宋体" w:hAnsi="宋体" w:eastAsia="宋体" w:cs="宋体"/>
                <w:kern w:val="0"/>
                <w:sz w:val="24"/>
                <w:szCs w:val="24"/>
              </w:rPr>
              <w:t>需求匹配，车辆车龄</w:t>
            </w:r>
            <w:r>
              <w:rPr>
                <w:rFonts w:hint="eastAsia" w:ascii="宋体" w:hAnsi="宋体" w:eastAsia="宋体" w:cs="宋体"/>
                <w:kern w:val="0"/>
                <w:sz w:val="24"/>
                <w:szCs w:val="24"/>
              </w:rPr>
              <w:t>在有效期内</w:t>
            </w:r>
            <w:r>
              <w:rPr>
                <w:rFonts w:ascii="宋体" w:hAnsi="宋体" w:eastAsia="宋体" w:cs="宋体"/>
                <w:kern w:val="0"/>
                <w:sz w:val="24"/>
                <w:szCs w:val="24"/>
              </w:rPr>
              <w:t>且具备有效行驶证、</w:t>
            </w:r>
            <w:r>
              <w:rPr>
                <w:rFonts w:hint="eastAsia" w:ascii="宋体" w:hAnsi="宋体" w:cs="宋体"/>
                <w:kern w:val="0"/>
                <w:sz w:val="24"/>
                <w:szCs w:val="24"/>
              </w:rPr>
              <w:t>道路运输证，且车辆技术状况良好，符合国家及地方相关排放标准的</w:t>
            </w:r>
            <w:r>
              <w:rPr>
                <w:rFonts w:ascii="宋体" w:hAnsi="宋体" w:eastAsia="宋体" w:cs="宋体"/>
                <w:kern w:val="0"/>
                <w:sz w:val="24"/>
                <w:szCs w:val="24"/>
              </w:rPr>
              <w:t>得满分</w:t>
            </w:r>
            <w:r>
              <w:rPr>
                <w:rFonts w:hint="eastAsia" w:ascii="宋体" w:hAnsi="宋体" w:eastAsia="宋体" w:cs="宋体"/>
                <w:kern w:val="0"/>
                <w:sz w:val="24"/>
                <w:szCs w:val="24"/>
              </w:rPr>
              <w:t>。</w:t>
            </w:r>
          </w:p>
          <w:p w14:paraId="5E018E02">
            <w:pPr>
              <w:widowControl/>
              <w:jc w:val="left"/>
              <w:rPr>
                <w:rFonts w:ascii="宋体" w:hAnsi="宋体" w:eastAsia="宋体" w:cs="宋体"/>
                <w:kern w:val="0"/>
                <w:sz w:val="24"/>
                <w:szCs w:val="24"/>
              </w:rPr>
            </w:pPr>
            <w:r>
              <w:rPr>
                <w:rFonts w:ascii="宋体" w:hAnsi="宋体" w:eastAsia="宋体" w:cs="宋体"/>
                <w:kern w:val="0"/>
                <w:sz w:val="24"/>
                <w:szCs w:val="24"/>
              </w:rPr>
              <w:t>车辆型号不符扣</w:t>
            </w:r>
            <w:r>
              <w:rPr>
                <w:rFonts w:hint="eastAsia" w:ascii="宋体" w:hAnsi="宋体" w:eastAsia="宋体" w:cs="宋体"/>
                <w:kern w:val="0"/>
                <w:sz w:val="24"/>
                <w:szCs w:val="24"/>
              </w:rPr>
              <w:t>0.5</w:t>
            </w:r>
            <w:r>
              <w:rPr>
                <w:rFonts w:ascii="宋体" w:hAnsi="宋体" w:eastAsia="宋体" w:cs="宋体"/>
                <w:kern w:val="0"/>
                <w:sz w:val="24"/>
                <w:szCs w:val="24"/>
              </w:rPr>
              <w:t xml:space="preserve">分，车龄超期或证照不全每辆车扣 </w:t>
            </w:r>
            <w:r>
              <w:rPr>
                <w:rFonts w:hint="eastAsia" w:ascii="宋体" w:hAnsi="宋体" w:eastAsia="宋体" w:cs="宋体"/>
                <w:kern w:val="0"/>
                <w:sz w:val="24"/>
                <w:szCs w:val="24"/>
              </w:rPr>
              <w:t>0.5</w:t>
            </w:r>
            <w:r>
              <w:rPr>
                <w:rFonts w:ascii="宋体" w:hAnsi="宋体" w:eastAsia="宋体" w:cs="宋体"/>
                <w:kern w:val="0"/>
                <w:sz w:val="24"/>
                <w:szCs w:val="24"/>
              </w:rPr>
              <w:t>分，扣完为止。</w:t>
            </w:r>
          </w:p>
        </w:tc>
      </w:tr>
      <w:tr w14:paraId="35200895">
        <w:tblPrEx>
          <w:tblCellMar>
            <w:top w:w="0" w:type="dxa"/>
            <w:left w:w="0" w:type="dxa"/>
            <w:bottom w:w="0" w:type="dxa"/>
            <w:right w:w="0" w:type="dxa"/>
          </w:tblCellMar>
        </w:tblPrEx>
        <w:trPr>
          <w:trHeight w:val="637" w:hRule="atLeast"/>
          <w:jc w:val="center"/>
        </w:trPr>
        <w:tc>
          <w:tcPr>
            <w:tcW w:w="48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48C37FF0">
            <w:pPr>
              <w:widowControl/>
              <w:jc w:val="center"/>
              <w:textAlignment w:val="center"/>
              <w:rPr>
                <w:rFonts w:ascii="宋体" w:hAnsi="宋体" w:eastAsia="宋体" w:cs="宋体"/>
                <w:kern w:val="0"/>
                <w:sz w:val="24"/>
                <w:szCs w:val="24"/>
              </w:rPr>
            </w:pPr>
          </w:p>
        </w:tc>
        <w:tc>
          <w:tcPr>
            <w:tcW w:w="68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285568F6">
            <w:pPr>
              <w:widowControl/>
              <w:jc w:val="left"/>
              <w:textAlignment w:val="center"/>
              <w:rPr>
                <w:rFonts w:ascii="宋体" w:hAnsi="宋体" w:eastAsia="宋体" w:cs="宋体"/>
                <w:kern w:val="0"/>
                <w:sz w:val="24"/>
                <w:szCs w:val="24"/>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9F895B2">
            <w:pPr>
              <w:widowControl/>
              <w:jc w:val="center"/>
              <w:textAlignment w:val="center"/>
              <w:rPr>
                <w:rFonts w:ascii="宋体" w:hAnsi="宋体" w:eastAsia="宋体" w:cs="宋体"/>
                <w:sz w:val="24"/>
                <w:szCs w:val="24"/>
              </w:rPr>
            </w:pPr>
            <w:r>
              <w:rPr>
                <w:rFonts w:hint="eastAsia" w:ascii="宋体" w:hAnsi="宋体" w:cs="宋体"/>
                <w:kern w:val="0"/>
                <w:sz w:val="24"/>
                <w:szCs w:val="24"/>
              </w:rPr>
              <w:t>运输人员要求</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567BFA">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4分</w:t>
            </w:r>
          </w:p>
        </w:tc>
        <w:tc>
          <w:tcPr>
            <w:tcW w:w="5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571409">
            <w:pPr>
              <w:widowControl/>
              <w:jc w:val="left"/>
              <w:rPr>
                <w:rFonts w:ascii="宋体" w:hAnsi="宋体" w:cs="宋体"/>
                <w:kern w:val="0"/>
                <w:sz w:val="24"/>
                <w:szCs w:val="24"/>
              </w:rPr>
            </w:pPr>
            <w:r>
              <w:rPr>
                <w:rFonts w:hint="eastAsia" w:ascii="宋体" w:hAnsi="宋体" w:eastAsia="宋体" w:cs="宋体"/>
                <w:kern w:val="0"/>
                <w:sz w:val="24"/>
                <w:szCs w:val="24"/>
              </w:rPr>
              <w:t>①</w:t>
            </w:r>
            <w:r>
              <w:rPr>
                <w:rFonts w:hint="eastAsia" w:ascii="宋体" w:hAnsi="宋体" w:cs="宋体"/>
                <w:kern w:val="0"/>
                <w:sz w:val="24"/>
                <w:szCs w:val="24"/>
              </w:rPr>
              <w:t>提供运输车辆驾驶员身份证、驾驶证、从业资格证复印件及无事故承诺函；</w:t>
            </w:r>
          </w:p>
          <w:p w14:paraId="02F6E09F">
            <w:pPr>
              <w:widowControl/>
              <w:jc w:val="left"/>
              <w:rPr>
                <w:rFonts w:ascii="宋体" w:hAnsi="宋体" w:cs="宋体"/>
                <w:kern w:val="0"/>
                <w:sz w:val="24"/>
                <w:szCs w:val="24"/>
              </w:rPr>
            </w:pPr>
            <w:r>
              <w:rPr>
                <w:rFonts w:hint="eastAsia" w:ascii="宋体" w:hAnsi="宋体" w:eastAsia="宋体" w:cs="宋体"/>
                <w:kern w:val="0"/>
                <w:sz w:val="24"/>
                <w:szCs w:val="24"/>
              </w:rPr>
              <w:t>②</w:t>
            </w:r>
            <w:r>
              <w:rPr>
                <w:rFonts w:hint="eastAsia" w:ascii="宋体" w:hAnsi="宋体" w:cs="宋体"/>
                <w:kern w:val="0"/>
                <w:sz w:val="24"/>
                <w:szCs w:val="24"/>
              </w:rPr>
              <w:t>提供专职的运输调度人员、安全管理人员人员名单、岗位职责说明及相关从业证明材料。</w:t>
            </w:r>
          </w:p>
          <w:p w14:paraId="3F42ABB1">
            <w:pPr>
              <w:widowControl/>
              <w:jc w:val="left"/>
              <w:rPr>
                <w:rFonts w:ascii="宋体" w:hAnsi="宋体" w:cs="宋体"/>
                <w:kern w:val="0"/>
                <w:sz w:val="24"/>
                <w:szCs w:val="24"/>
              </w:rPr>
            </w:pPr>
            <w:r>
              <w:rPr>
                <w:rFonts w:hint="eastAsia" w:ascii="宋体" w:hAnsi="宋体" w:cs="宋体"/>
                <w:kern w:val="0"/>
                <w:sz w:val="24"/>
                <w:szCs w:val="24"/>
              </w:rPr>
              <w:t>上述</w:t>
            </w:r>
            <w:r>
              <w:rPr>
                <w:rFonts w:hint="eastAsia" w:ascii="宋体" w:hAnsi="宋体" w:eastAsia="宋体" w:cs="宋体"/>
                <w:kern w:val="0"/>
                <w:sz w:val="24"/>
                <w:szCs w:val="24"/>
              </w:rPr>
              <w:t>①</w:t>
            </w:r>
            <w:r>
              <w:rPr>
                <w:rFonts w:hint="eastAsia" w:ascii="宋体" w:hAnsi="宋体" w:cs="宋体"/>
                <w:kern w:val="0"/>
                <w:sz w:val="24"/>
                <w:szCs w:val="24"/>
              </w:rPr>
              <w:t>、</w:t>
            </w:r>
            <w:r>
              <w:rPr>
                <w:rFonts w:hint="eastAsia" w:ascii="宋体" w:hAnsi="宋体" w:eastAsia="宋体" w:cs="宋体"/>
                <w:kern w:val="0"/>
                <w:sz w:val="24"/>
                <w:szCs w:val="24"/>
              </w:rPr>
              <w:t>②</w:t>
            </w:r>
            <w:r>
              <w:rPr>
                <w:rFonts w:hint="eastAsia" w:ascii="宋体" w:hAnsi="宋体" w:cs="宋体"/>
                <w:kern w:val="0"/>
                <w:sz w:val="24"/>
                <w:szCs w:val="24"/>
              </w:rPr>
              <w:t>证件/资料齐全，得满分；</w:t>
            </w:r>
          </w:p>
          <w:p w14:paraId="2BA4E0D3">
            <w:pPr>
              <w:widowControl/>
              <w:jc w:val="left"/>
              <w:rPr>
                <w:rFonts w:ascii="宋体" w:hAnsi="宋体" w:cs="宋体"/>
                <w:kern w:val="0"/>
                <w:sz w:val="24"/>
                <w:szCs w:val="24"/>
              </w:rPr>
            </w:pPr>
            <w:r>
              <w:rPr>
                <w:rFonts w:hint="eastAsia" w:ascii="宋体" w:hAnsi="宋体" w:cs="宋体"/>
                <w:kern w:val="0"/>
                <w:sz w:val="24"/>
                <w:szCs w:val="24"/>
              </w:rPr>
              <w:t>上述</w:t>
            </w:r>
            <w:r>
              <w:rPr>
                <w:rFonts w:hint="eastAsia" w:ascii="宋体" w:hAnsi="宋体" w:eastAsia="宋体" w:cs="宋体"/>
                <w:kern w:val="0"/>
                <w:sz w:val="24"/>
                <w:szCs w:val="24"/>
              </w:rPr>
              <w:t>①</w:t>
            </w:r>
            <w:r>
              <w:rPr>
                <w:rFonts w:hint="eastAsia" w:ascii="宋体" w:hAnsi="宋体" w:cs="宋体"/>
                <w:kern w:val="0"/>
                <w:sz w:val="24"/>
                <w:szCs w:val="24"/>
              </w:rPr>
              <w:t>证件/资料不齐全，得0分；</w:t>
            </w:r>
          </w:p>
          <w:p w14:paraId="5CC7133E">
            <w:pPr>
              <w:widowControl/>
              <w:jc w:val="left"/>
              <w:rPr>
                <w:rFonts w:ascii="宋体" w:hAnsi="宋体" w:cs="宋体"/>
                <w:kern w:val="0"/>
                <w:sz w:val="24"/>
                <w:szCs w:val="24"/>
              </w:rPr>
            </w:pPr>
            <w:r>
              <w:rPr>
                <w:rFonts w:hint="eastAsia" w:ascii="宋体" w:hAnsi="宋体" w:cs="宋体"/>
                <w:kern w:val="0"/>
                <w:sz w:val="24"/>
                <w:szCs w:val="24"/>
              </w:rPr>
              <w:t>上述</w:t>
            </w:r>
            <w:r>
              <w:rPr>
                <w:rFonts w:hint="eastAsia" w:ascii="宋体" w:hAnsi="宋体" w:eastAsia="宋体" w:cs="宋体"/>
                <w:kern w:val="0"/>
                <w:sz w:val="24"/>
                <w:szCs w:val="24"/>
              </w:rPr>
              <w:t>②证件/资料不齐全，扣1-2分。</w:t>
            </w:r>
          </w:p>
        </w:tc>
      </w:tr>
      <w:tr w14:paraId="512B5F89">
        <w:tblPrEx>
          <w:tblCellMar>
            <w:top w:w="0" w:type="dxa"/>
            <w:left w:w="0" w:type="dxa"/>
            <w:bottom w:w="0" w:type="dxa"/>
            <w:right w:w="0" w:type="dxa"/>
          </w:tblCellMar>
        </w:tblPrEx>
        <w:trPr>
          <w:trHeight w:val="340" w:hRule="atLeast"/>
          <w:jc w:val="center"/>
        </w:trPr>
        <w:tc>
          <w:tcPr>
            <w:tcW w:w="48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4747AE35">
            <w:pPr>
              <w:jc w:val="center"/>
              <w:rPr>
                <w:rFonts w:ascii="宋体" w:hAnsi="宋体" w:eastAsia="宋体" w:cs="宋体"/>
                <w:sz w:val="24"/>
                <w:szCs w:val="24"/>
              </w:rPr>
            </w:pPr>
          </w:p>
        </w:tc>
        <w:tc>
          <w:tcPr>
            <w:tcW w:w="68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311C3119">
            <w:pPr>
              <w:jc w:val="left"/>
              <w:rPr>
                <w:rFonts w:ascii="宋体" w:hAnsi="宋体" w:eastAsia="宋体" w:cs="宋体"/>
                <w:sz w:val="24"/>
                <w:szCs w:val="24"/>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D1588D">
            <w:pPr>
              <w:widowControl/>
              <w:jc w:val="center"/>
              <w:textAlignment w:val="center"/>
              <w:rPr>
                <w:rFonts w:ascii="宋体" w:hAnsi="宋体" w:eastAsia="宋体" w:cs="宋体"/>
                <w:sz w:val="24"/>
                <w:szCs w:val="24"/>
              </w:rPr>
            </w:pPr>
            <w:r>
              <w:rPr>
                <w:rFonts w:hint="eastAsia" w:ascii="宋体" w:hAnsi="宋体" w:eastAsia="宋体" w:cs="宋体"/>
                <w:sz w:val="24"/>
                <w:szCs w:val="24"/>
              </w:rPr>
              <w:t>应急保障方案</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C24B0B0">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6分</w:t>
            </w:r>
          </w:p>
        </w:tc>
        <w:tc>
          <w:tcPr>
            <w:tcW w:w="5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6F4B22">
            <w:pPr>
              <w:widowControl/>
              <w:jc w:val="left"/>
              <w:rPr>
                <w:rFonts w:ascii="宋体" w:hAnsi="宋体" w:cs="宋体"/>
                <w:kern w:val="0"/>
                <w:sz w:val="24"/>
                <w:szCs w:val="24"/>
              </w:rPr>
            </w:pPr>
            <w:r>
              <w:rPr>
                <w:rFonts w:hint="eastAsia" w:ascii="宋体" w:hAnsi="宋体" w:cs="宋体"/>
                <w:kern w:val="0"/>
                <w:sz w:val="24"/>
                <w:szCs w:val="24"/>
              </w:rPr>
              <w:t>投标人须具备应对突发运输需求的应急保障能力：</w:t>
            </w:r>
          </w:p>
          <w:p w14:paraId="46058233">
            <w:pPr>
              <w:widowControl/>
              <w:jc w:val="left"/>
              <w:rPr>
                <w:rFonts w:ascii="宋体" w:hAnsi="宋体" w:cs="宋体"/>
                <w:kern w:val="0"/>
                <w:sz w:val="24"/>
                <w:szCs w:val="24"/>
              </w:rPr>
            </w:pPr>
            <w:r>
              <w:rPr>
                <w:rFonts w:hint="eastAsia" w:ascii="宋体" w:hAnsi="宋体" w:eastAsia="宋体" w:cs="宋体"/>
                <w:kern w:val="0"/>
                <w:sz w:val="24"/>
                <w:szCs w:val="24"/>
              </w:rPr>
              <w:t>①</w:t>
            </w:r>
            <w:r>
              <w:rPr>
                <w:rFonts w:hint="eastAsia" w:ascii="宋体" w:hAnsi="宋体" w:cs="宋体"/>
                <w:kern w:val="0"/>
                <w:sz w:val="24"/>
                <w:szCs w:val="24"/>
              </w:rPr>
              <w:t>能根据招标人要求调整运输计划、增派车辆及人员；</w:t>
            </w:r>
          </w:p>
          <w:p w14:paraId="1F245CC6">
            <w:pPr>
              <w:widowControl/>
              <w:jc w:val="left"/>
              <w:rPr>
                <w:rFonts w:ascii="宋体" w:hAnsi="宋体" w:cs="宋体"/>
                <w:kern w:val="0"/>
                <w:sz w:val="24"/>
                <w:szCs w:val="24"/>
              </w:rPr>
            </w:pPr>
            <w:r>
              <w:rPr>
                <w:rFonts w:hint="eastAsia" w:ascii="宋体" w:hAnsi="宋体" w:eastAsia="宋体" w:cs="宋体"/>
                <w:kern w:val="0"/>
                <w:sz w:val="24"/>
                <w:szCs w:val="24"/>
              </w:rPr>
              <w:t>②</w:t>
            </w:r>
            <w:r>
              <w:rPr>
                <w:rFonts w:hint="eastAsia" w:ascii="宋体" w:hAnsi="宋体" w:cs="宋体"/>
                <w:kern w:val="0"/>
                <w:sz w:val="24"/>
                <w:szCs w:val="24"/>
              </w:rPr>
              <w:t>针对交通事故、恶劣天气、车辆故障等突发情况，制定完善的应急处置流程及备选方案；</w:t>
            </w:r>
          </w:p>
          <w:p w14:paraId="27040F40">
            <w:pPr>
              <w:widowControl/>
              <w:jc w:val="left"/>
              <w:rPr>
                <w:rFonts w:ascii="宋体" w:hAnsi="宋体" w:cs="宋体"/>
                <w:kern w:val="0"/>
                <w:sz w:val="24"/>
                <w:szCs w:val="24"/>
              </w:rPr>
            </w:pPr>
            <w:r>
              <w:rPr>
                <w:rFonts w:hint="eastAsia" w:ascii="宋体" w:hAnsi="宋体" w:eastAsia="宋体" w:cs="宋体"/>
                <w:kern w:val="0"/>
                <w:sz w:val="24"/>
                <w:szCs w:val="24"/>
              </w:rPr>
              <w:t>③</w:t>
            </w:r>
            <w:r>
              <w:rPr>
                <w:rFonts w:hint="eastAsia" w:ascii="宋体" w:hAnsi="宋体" w:cs="宋体"/>
                <w:kern w:val="0"/>
                <w:sz w:val="24"/>
                <w:szCs w:val="24"/>
              </w:rPr>
              <w:t>具有严格的货物安全保障体系，保证突发事件信息及时反馈及解决。</w:t>
            </w:r>
          </w:p>
          <w:p w14:paraId="16EAE566">
            <w:pPr>
              <w:widowControl/>
              <w:jc w:val="left"/>
              <w:rPr>
                <w:rFonts w:ascii="宋体" w:hAnsi="宋体" w:eastAsia="宋体" w:cs="宋体"/>
                <w:kern w:val="0"/>
                <w:sz w:val="24"/>
                <w:szCs w:val="24"/>
              </w:rPr>
            </w:pPr>
            <w:r>
              <w:rPr>
                <w:rFonts w:hint="eastAsia" w:ascii="宋体" w:hAnsi="宋体" w:cs="宋体"/>
                <w:kern w:val="0"/>
                <w:sz w:val="24"/>
                <w:szCs w:val="24"/>
              </w:rPr>
              <w:t>1、上述应急保障方案</w:t>
            </w:r>
            <w:r>
              <w:rPr>
                <w:rFonts w:ascii="宋体" w:hAnsi="宋体" w:eastAsia="宋体" w:cs="宋体"/>
                <w:kern w:val="0"/>
                <w:sz w:val="24"/>
                <w:szCs w:val="24"/>
              </w:rPr>
              <w:t>责任明确、得满分；</w:t>
            </w:r>
          </w:p>
          <w:p w14:paraId="3584BB56">
            <w:pPr>
              <w:widowControl/>
              <w:jc w:val="left"/>
              <w:rPr>
                <w:rFonts w:ascii="宋体" w:hAnsi="宋体" w:eastAsia="宋体" w:cs="宋体"/>
                <w:color w:val="000000" w:themeColor="text1"/>
                <w:sz w:val="24"/>
                <w:szCs w:val="24"/>
              </w:rPr>
            </w:pPr>
            <w:r>
              <w:rPr>
                <w:rFonts w:hint="eastAsia" w:ascii="宋体" w:hAnsi="宋体" w:eastAsia="宋体" w:cs="宋体"/>
                <w:kern w:val="0"/>
                <w:sz w:val="24"/>
                <w:szCs w:val="24"/>
              </w:rPr>
              <w:t>2、</w:t>
            </w:r>
            <w:r>
              <w:rPr>
                <w:rFonts w:ascii="宋体" w:hAnsi="宋体" w:eastAsia="宋体" w:cs="宋体"/>
                <w:kern w:val="0"/>
                <w:sz w:val="24"/>
                <w:szCs w:val="24"/>
              </w:rPr>
              <w:t>应急方案缺失关键环节或可操作性差，每处问题扣2分，扣完为止。</w:t>
            </w:r>
          </w:p>
        </w:tc>
      </w:tr>
      <w:tr w14:paraId="77726592">
        <w:tblPrEx>
          <w:tblCellMar>
            <w:top w:w="0" w:type="dxa"/>
            <w:left w:w="0" w:type="dxa"/>
            <w:bottom w:w="0" w:type="dxa"/>
            <w:right w:w="0" w:type="dxa"/>
          </w:tblCellMar>
        </w:tblPrEx>
        <w:trPr>
          <w:trHeight w:val="340" w:hRule="atLeast"/>
          <w:jc w:val="center"/>
        </w:trPr>
        <w:tc>
          <w:tcPr>
            <w:tcW w:w="483"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11B80">
            <w:pPr>
              <w:jc w:val="center"/>
              <w:rPr>
                <w:rFonts w:ascii="宋体" w:hAnsi="宋体" w:eastAsia="宋体" w:cs="宋体"/>
                <w:sz w:val="24"/>
                <w:szCs w:val="24"/>
              </w:rPr>
            </w:pPr>
          </w:p>
        </w:tc>
        <w:tc>
          <w:tcPr>
            <w:tcW w:w="68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52CB4FE">
            <w:pPr>
              <w:jc w:val="left"/>
              <w:rPr>
                <w:rFonts w:ascii="宋体" w:hAnsi="宋体" w:eastAsia="宋体" w:cs="宋体"/>
                <w:sz w:val="24"/>
                <w:szCs w:val="24"/>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664AE5">
            <w:pPr>
              <w:widowControl/>
              <w:jc w:val="center"/>
              <w:textAlignment w:val="center"/>
              <w:rPr>
                <w:rFonts w:ascii="宋体" w:hAnsi="宋体" w:eastAsia="宋体" w:cs="宋体"/>
                <w:sz w:val="24"/>
                <w:szCs w:val="24"/>
              </w:rPr>
            </w:pPr>
            <w:r>
              <w:rPr>
                <w:rFonts w:hint="eastAsia" w:ascii="宋体" w:hAnsi="宋体" w:eastAsia="宋体" w:cs="宋体"/>
                <w:sz w:val="24"/>
                <w:szCs w:val="24"/>
              </w:rPr>
              <w:t>运输路线</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F69AFA6">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2分</w:t>
            </w:r>
          </w:p>
        </w:tc>
        <w:tc>
          <w:tcPr>
            <w:tcW w:w="5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D59E82">
            <w:pPr>
              <w:widowControl/>
              <w:jc w:val="left"/>
              <w:rPr>
                <w:rFonts w:ascii="宋体" w:hAnsi="宋体" w:eastAsia="宋体" w:cs="宋体"/>
                <w:kern w:val="0"/>
                <w:sz w:val="24"/>
                <w:szCs w:val="24"/>
              </w:rPr>
            </w:pPr>
            <w:r>
              <w:rPr>
                <w:rFonts w:hint="eastAsia" w:ascii="宋体" w:hAnsi="宋体" w:cs="宋体"/>
                <w:kern w:val="0"/>
                <w:sz w:val="24"/>
                <w:szCs w:val="24"/>
              </w:rPr>
              <w:t>投标人提供不同货物运输起讫点的运输路线，且合理，得2分；提供不全/不合理，扣0.5-1分；不提供不得分；</w:t>
            </w:r>
          </w:p>
        </w:tc>
      </w:tr>
      <w:tr w14:paraId="62684B4B">
        <w:tblPrEx>
          <w:tblCellMar>
            <w:top w:w="0" w:type="dxa"/>
            <w:left w:w="0" w:type="dxa"/>
            <w:bottom w:w="0" w:type="dxa"/>
            <w:right w:w="0" w:type="dxa"/>
          </w:tblCellMar>
        </w:tblPrEx>
        <w:trPr>
          <w:trHeight w:val="340" w:hRule="atLeast"/>
          <w:jc w:val="center"/>
        </w:trPr>
        <w:tc>
          <w:tcPr>
            <w:tcW w:w="48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4B8FBC97">
            <w:pPr>
              <w:widowControl/>
              <w:jc w:val="center"/>
              <w:textAlignment w:val="center"/>
              <w:rPr>
                <w:rFonts w:ascii="宋体" w:hAnsi="宋体" w:eastAsia="宋体" w:cs="宋体"/>
                <w:sz w:val="24"/>
                <w:szCs w:val="24"/>
              </w:rPr>
            </w:pPr>
            <w:r>
              <w:rPr>
                <w:rFonts w:ascii="宋体" w:hAnsi="宋体" w:eastAsia="宋体" w:cs="宋体"/>
                <w:kern w:val="0"/>
                <w:sz w:val="24"/>
                <w:szCs w:val="24"/>
              </w:rPr>
              <w:t>3</w:t>
            </w:r>
          </w:p>
        </w:tc>
        <w:tc>
          <w:tcPr>
            <w:tcW w:w="68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14:paraId="148FD8D4">
            <w:pPr>
              <w:widowControl/>
              <w:jc w:val="left"/>
              <w:textAlignment w:val="center"/>
              <w:rPr>
                <w:rFonts w:ascii="宋体" w:hAnsi="宋体" w:eastAsia="宋体" w:cs="宋体"/>
                <w:sz w:val="24"/>
                <w:szCs w:val="24"/>
              </w:rPr>
            </w:pPr>
            <w:r>
              <w:rPr>
                <w:rFonts w:ascii="宋体" w:hAnsi="宋体" w:eastAsia="宋体" w:cs="宋体"/>
                <w:sz w:val="24"/>
                <w:szCs w:val="24"/>
              </w:rPr>
              <w:t>相关业绩</w:t>
            </w:r>
            <w:r>
              <w:rPr>
                <w:rFonts w:hint="eastAsia" w:ascii="宋体" w:hAnsi="宋体" w:eastAsia="宋体" w:cs="宋体"/>
                <w:sz w:val="24"/>
                <w:szCs w:val="24"/>
              </w:rPr>
              <w:t>、评价、履约能力</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8CF030">
            <w:pPr>
              <w:widowControl/>
              <w:jc w:val="center"/>
              <w:textAlignment w:val="center"/>
              <w:rPr>
                <w:rFonts w:ascii="宋体" w:hAnsi="宋体" w:eastAsia="宋体" w:cs="宋体"/>
                <w:sz w:val="24"/>
                <w:szCs w:val="24"/>
              </w:rPr>
            </w:pPr>
            <w:r>
              <w:rPr>
                <w:rFonts w:hint="eastAsia" w:ascii="宋体" w:hAnsi="宋体" w:eastAsia="宋体" w:cs="宋体"/>
                <w:kern w:val="0"/>
                <w:sz w:val="24"/>
                <w:szCs w:val="24"/>
              </w:rPr>
              <w:t>近三年同行业（重型机械加工行业）运输服务项目经验</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7FB797C">
            <w:pPr>
              <w:widowControl/>
              <w:jc w:val="center"/>
              <w:textAlignment w:val="center"/>
              <w:rPr>
                <w:rFonts w:ascii="宋体" w:hAnsi="宋体" w:eastAsia="宋体" w:cs="宋体"/>
                <w:color w:val="000000" w:themeColor="text1"/>
                <w:sz w:val="24"/>
                <w:szCs w:val="24"/>
              </w:rPr>
            </w:pPr>
            <w:r>
              <w:rPr>
                <w:rFonts w:hint="eastAsia" w:ascii="宋体" w:hAnsi="宋体" w:eastAsia="宋体" w:cs="宋体"/>
                <w:color w:val="000000" w:themeColor="text1"/>
                <w:kern w:val="0"/>
                <w:sz w:val="24"/>
                <w:szCs w:val="24"/>
              </w:rPr>
              <w:t>5分</w:t>
            </w:r>
          </w:p>
        </w:tc>
        <w:tc>
          <w:tcPr>
            <w:tcW w:w="5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CAA4213">
            <w:pPr>
              <w:widowControl/>
              <w:jc w:val="left"/>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w:t>
            </w:r>
            <w:r>
              <w:rPr>
                <w:rFonts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rPr>
              <w:t>（含）以上的，得5分；</w:t>
            </w:r>
          </w:p>
          <w:p w14:paraId="648BF89D">
            <w:pPr>
              <w:widowControl/>
              <w:jc w:val="left"/>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w:t>
            </w:r>
            <w:r>
              <w:rPr>
                <w:rFonts w:ascii="宋体" w:hAnsi="宋体" w:eastAsia="宋体" w:cs="宋体"/>
                <w:color w:val="000000" w:themeColor="text1"/>
                <w:kern w:val="0"/>
                <w:sz w:val="24"/>
                <w:szCs w:val="24"/>
              </w:rPr>
              <w:t>年</w:t>
            </w:r>
            <w:r>
              <w:rPr>
                <w:rFonts w:hint="eastAsia" w:ascii="宋体" w:hAnsi="宋体" w:eastAsia="宋体" w:cs="宋体"/>
                <w:color w:val="000000" w:themeColor="text1"/>
                <w:kern w:val="0"/>
                <w:sz w:val="24"/>
                <w:szCs w:val="24"/>
              </w:rPr>
              <w:t>（含）-5年（不含）的，得3分；</w:t>
            </w:r>
          </w:p>
          <w:p w14:paraId="6C5665AC">
            <w:pPr>
              <w:widowControl/>
              <w:jc w:val="left"/>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3年（含）-4年（不含）的，得2分；</w:t>
            </w:r>
          </w:p>
          <w:p w14:paraId="16FA3617">
            <w:pPr>
              <w:widowControl/>
              <w:jc w:val="left"/>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2年（含）-3年（不含）的，得1分；</w:t>
            </w:r>
          </w:p>
        </w:tc>
      </w:tr>
      <w:tr w14:paraId="546BCCD2">
        <w:tblPrEx>
          <w:tblCellMar>
            <w:top w:w="0" w:type="dxa"/>
            <w:left w:w="0" w:type="dxa"/>
            <w:bottom w:w="0" w:type="dxa"/>
            <w:right w:w="0" w:type="dxa"/>
          </w:tblCellMar>
        </w:tblPrEx>
        <w:trPr>
          <w:trHeight w:val="340" w:hRule="atLeast"/>
          <w:jc w:val="center"/>
        </w:trPr>
        <w:tc>
          <w:tcPr>
            <w:tcW w:w="48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5EB42A9B">
            <w:pPr>
              <w:widowControl/>
              <w:jc w:val="center"/>
              <w:textAlignment w:val="center"/>
              <w:rPr>
                <w:rFonts w:ascii="宋体" w:hAnsi="宋体" w:eastAsia="宋体" w:cs="宋体"/>
                <w:kern w:val="0"/>
                <w:sz w:val="24"/>
                <w:szCs w:val="24"/>
              </w:rPr>
            </w:pPr>
          </w:p>
        </w:tc>
        <w:tc>
          <w:tcPr>
            <w:tcW w:w="68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14:paraId="2BC67FC7">
            <w:pPr>
              <w:widowControl/>
              <w:jc w:val="left"/>
              <w:textAlignment w:val="center"/>
              <w:rPr>
                <w:rFonts w:ascii="宋体" w:hAnsi="宋体" w:eastAsia="宋体" w:cs="宋体"/>
                <w:sz w:val="24"/>
                <w:szCs w:val="24"/>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237E73">
            <w:pPr>
              <w:widowControl/>
              <w:jc w:val="center"/>
              <w:textAlignment w:val="center"/>
              <w:rPr>
                <w:rFonts w:ascii="宋体" w:hAnsi="宋体" w:eastAsia="宋体" w:cs="宋体"/>
                <w:kern w:val="0"/>
                <w:sz w:val="24"/>
                <w:szCs w:val="24"/>
              </w:rPr>
            </w:pPr>
            <w:r>
              <w:rPr>
                <w:rFonts w:hint="eastAsia" w:ascii="宋体" w:hAnsi="宋体" w:eastAsia="宋体" w:cs="宋体"/>
                <w:kern w:val="0"/>
                <w:sz w:val="24"/>
                <w:szCs w:val="24"/>
              </w:rPr>
              <w:t>服务评价</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BC18A6D">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3分</w:t>
            </w:r>
          </w:p>
        </w:tc>
        <w:tc>
          <w:tcPr>
            <w:tcW w:w="5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C67024">
            <w:pPr>
              <w:widowControl/>
              <w:jc w:val="left"/>
              <w:textAlignment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提供</w:t>
            </w:r>
            <w:r>
              <w:rPr>
                <w:rFonts w:hint="eastAsia" w:ascii="宋体" w:hAnsi="宋体" w:eastAsia="宋体" w:cs="宋体"/>
                <w:color w:val="000000" w:themeColor="text1"/>
                <w:kern w:val="0"/>
                <w:sz w:val="24"/>
                <w:szCs w:val="24"/>
              </w:rPr>
              <w:t>3份以上《客户服务评价表》</w:t>
            </w:r>
          </w:p>
          <w:p w14:paraId="735AADD3">
            <w:pPr>
              <w:widowControl/>
              <w:jc w:val="left"/>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优秀，得3分；</w:t>
            </w:r>
          </w:p>
          <w:p w14:paraId="40897C55">
            <w:pPr>
              <w:widowControl/>
              <w:jc w:val="left"/>
              <w:textAlignment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良好，得</w:t>
            </w:r>
            <w:r>
              <w:rPr>
                <w:rFonts w:hint="eastAsia" w:ascii="宋体" w:hAnsi="宋体" w:eastAsia="宋体" w:cs="宋体"/>
                <w:color w:val="000000" w:themeColor="text1"/>
                <w:kern w:val="0"/>
                <w:sz w:val="24"/>
                <w:szCs w:val="24"/>
              </w:rPr>
              <w:t>2分；</w:t>
            </w:r>
          </w:p>
          <w:p w14:paraId="14ED67DE">
            <w:pPr>
              <w:widowControl/>
              <w:jc w:val="left"/>
              <w:textAlignment w:val="center"/>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一般，得</w:t>
            </w:r>
            <w:r>
              <w:rPr>
                <w:rFonts w:hint="eastAsia" w:ascii="宋体" w:hAnsi="宋体" w:eastAsia="宋体" w:cs="宋体"/>
                <w:color w:val="000000" w:themeColor="text1"/>
                <w:kern w:val="0"/>
                <w:sz w:val="24"/>
                <w:szCs w:val="24"/>
              </w:rPr>
              <w:t>1分；</w:t>
            </w:r>
          </w:p>
        </w:tc>
      </w:tr>
      <w:tr w14:paraId="5B0CC6CD">
        <w:tblPrEx>
          <w:tblCellMar>
            <w:top w:w="0" w:type="dxa"/>
            <w:left w:w="0" w:type="dxa"/>
            <w:bottom w:w="0" w:type="dxa"/>
            <w:right w:w="0" w:type="dxa"/>
          </w:tblCellMar>
        </w:tblPrEx>
        <w:trPr>
          <w:trHeight w:val="340" w:hRule="atLeast"/>
          <w:jc w:val="center"/>
        </w:trPr>
        <w:tc>
          <w:tcPr>
            <w:tcW w:w="483"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4FBB9">
            <w:pPr>
              <w:widowControl/>
              <w:jc w:val="center"/>
              <w:textAlignment w:val="center"/>
              <w:rPr>
                <w:rFonts w:ascii="宋体" w:hAnsi="宋体" w:eastAsia="宋体" w:cs="宋体"/>
                <w:kern w:val="0"/>
                <w:sz w:val="24"/>
                <w:szCs w:val="24"/>
              </w:rPr>
            </w:pPr>
          </w:p>
        </w:tc>
        <w:tc>
          <w:tcPr>
            <w:tcW w:w="68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F84DFF">
            <w:pPr>
              <w:widowControl/>
              <w:jc w:val="left"/>
              <w:textAlignment w:val="center"/>
              <w:rPr>
                <w:rFonts w:ascii="宋体" w:hAnsi="宋体" w:eastAsia="宋体" w:cs="宋体"/>
                <w:sz w:val="24"/>
                <w:szCs w:val="24"/>
              </w:rPr>
            </w:pP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F0180">
            <w:pPr>
              <w:widowControl/>
              <w:jc w:val="left"/>
              <w:rPr>
                <w:rFonts w:ascii="宋体" w:hAnsi="宋体" w:eastAsia="宋体" w:cs="宋体"/>
                <w:kern w:val="0"/>
                <w:sz w:val="24"/>
                <w:szCs w:val="24"/>
              </w:rPr>
            </w:pPr>
            <w:r>
              <w:rPr>
                <w:rFonts w:ascii="宋体" w:hAnsi="宋体" w:eastAsia="宋体" w:cs="宋体"/>
                <w:kern w:val="0"/>
                <w:sz w:val="24"/>
                <w:szCs w:val="24"/>
              </w:rPr>
              <w:t>资金实力与履约保障</w:t>
            </w:r>
          </w:p>
        </w:tc>
        <w:tc>
          <w:tcPr>
            <w:tcW w:w="7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86A490">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2分</w:t>
            </w:r>
          </w:p>
        </w:tc>
        <w:tc>
          <w:tcPr>
            <w:tcW w:w="5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BA0FB8">
            <w:pPr>
              <w:widowControl/>
              <w:jc w:val="left"/>
              <w:rPr>
                <w:rFonts w:ascii="宋体" w:hAnsi="宋体" w:eastAsia="宋体" w:cs="宋体"/>
                <w:color w:val="000000" w:themeColor="text1"/>
                <w:kern w:val="0"/>
                <w:sz w:val="24"/>
                <w:szCs w:val="24"/>
              </w:rPr>
            </w:pPr>
            <w:r>
              <w:rPr>
                <w:rFonts w:ascii="宋体" w:hAnsi="宋体" w:eastAsia="宋体" w:cs="宋体"/>
                <w:kern w:val="0"/>
                <w:sz w:val="24"/>
                <w:szCs w:val="24"/>
              </w:rPr>
              <w:t>提供银行资信证明或履约保函，能保障项目资金周转及履约，证明材料充分得满分；无相关证明或材料不足得 0分。</w:t>
            </w:r>
          </w:p>
        </w:tc>
      </w:tr>
    </w:tbl>
    <w:p w14:paraId="69CBF08D">
      <w:pPr>
        <w:adjustRightInd w:val="0"/>
        <w:snapToGrid w:val="0"/>
        <w:spacing w:line="360" w:lineRule="auto"/>
        <w:ind w:firstLine="420"/>
        <w:rPr>
          <w:sz w:val="24"/>
          <w:szCs w:val="24"/>
        </w:rPr>
      </w:pPr>
      <w:r>
        <w:rPr>
          <w:rFonts w:hint="eastAsia" w:ascii="宋体" w:hAnsi="宋体" w:cs="宋体"/>
          <w:sz w:val="24"/>
          <w:szCs w:val="24"/>
        </w:rPr>
        <w:t>3、总分计算由评标委员会成员对每一份投标文件进行独立评分，然后取算术平均值（保留小数点两位）。计算每个投标人的实际得分，并从高分到低分进行排名分别为第1名、第2名、第3名、第4名......依此类推，推荐排名分别为第1名、第2名、第3名三名投标人为中标人。若出现多家投标人并列得分，则按投标人经济指标中按“短途运输”、“</w:t>
      </w:r>
      <w:r>
        <w:rPr>
          <w:rFonts w:hint="eastAsia" w:ascii="宋体" w:hAnsi="宋体" w:eastAsia="宋体" w:cs="宋体"/>
          <w:kern w:val="0"/>
          <w:sz w:val="24"/>
          <w:szCs w:val="24"/>
        </w:rPr>
        <w:t>长途运输</w:t>
      </w:r>
      <w:r>
        <w:rPr>
          <w:rFonts w:hint="eastAsia" w:ascii="宋体" w:hAnsi="宋体" w:cs="宋体"/>
          <w:sz w:val="24"/>
          <w:szCs w:val="24"/>
        </w:rPr>
        <w:t>”、“整机运输”顺序，取得分高者名次靠前。</w:t>
      </w:r>
    </w:p>
    <w:p w14:paraId="15D88B19">
      <w:pPr>
        <w:spacing w:line="360" w:lineRule="auto"/>
        <w:ind w:firstLine="480" w:firstLineChars="200"/>
        <w:rPr>
          <w:rFonts w:ascii="宋体"/>
          <w:sz w:val="24"/>
          <w:szCs w:val="24"/>
        </w:rPr>
      </w:pPr>
      <w:r>
        <w:rPr>
          <w:rFonts w:hint="eastAsia" w:ascii="宋体" w:hAnsi="宋体" w:cs="宋体"/>
          <w:sz w:val="24"/>
          <w:szCs w:val="24"/>
        </w:rPr>
        <w:t>本办法由招标发起部门运营管理部提出；</w:t>
      </w:r>
    </w:p>
    <w:p w14:paraId="34767B90">
      <w:pPr>
        <w:spacing w:line="360" w:lineRule="auto"/>
        <w:ind w:firstLine="480"/>
        <w:rPr>
          <w:rFonts w:ascii="宋体"/>
          <w:sz w:val="24"/>
          <w:szCs w:val="24"/>
        </w:rPr>
      </w:pPr>
      <w:r>
        <w:rPr>
          <w:rFonts w:hint="eastAsia" w:ascii="宋体" w:hAnsi="宋体" w:cs="宋体"/>
          <w:sz w:val="24"/>
          <w:szCs w:val="24"/>
        </w:rPr>
        <w:t>本办法由评委会审议；</w:t>
      </w:r>
    </w:p>
    <w:p w14:paraId="25877692">
      <w:pPr>
        <w:spacing w:line="360" w:lineRule="auto"/>
        <w:ind w:firstLine="480"/>
        <w:rPr>
          <w:rFonts w:ascii="宋体"/>
          <w:sz w:val="24"/>
          <w:szCs w:val="24"/>
        </w:rPr>
      </w:pPr>
      <w:r>
        <w:rPr>
          <w:rFonts w:hint="eastAsia" w:ascii="宋体" w:hAnsi="宋体" w:cs="宋体"/>
          <w:sz w:val="24"/>
          <w:szCs w:val="24"/>
        </w:rPr>
        <w:t>本办法由评委会组长审批。</w:t>
      </w:r>
    </w:p>
    <w:p w14:paraId="582D7DB5">
      <w:pPr>
        <w:spacing w:line="360" w:lineRule="auto"/>
        <w:ind w:firstLine="480"/>
        <w:rPr>
          <w:rFonts w:ascii="宋体" w:hAnsi="宋体" w:cs="宋体"/>
          <w:sz w:val="24"/>
          <w:szCs w:val="24"/>
        </w:rPr>
      </w:pPr>
      <w:r>
        <w:rPr>
          <w:rFonts w:hint="eastAsia" w:ascii="宋体" w:hAnsi="宋体" w:cs="宋体"/>
          <w:sz w:val="24"/>
          <w:szCs w:val="24"/>
        </w:rPr>
        <w:t>本办法由公司纪委全程监督执行。</w:t>
      </w:r>
    </w:p>
    <w:p w14:paraId="34970454">
      <w:pPr>
        <w:widowControl/>
        <w:spacing w:line="360" w:lineRule="atLeast"/>
        <w:jc w:val="left"/>
        <w:rPr>
          <w:rFonts w:ascii="宋体" w:hAnsi="宋体" w:eastAsia="宋体" w:cs="宋体"/>
          <w:kern w:val="0"/>
          <w:sz w:val="24"/>
          <w:szCs w:val="24"/>
        </w:rPr>
        <w:sectPr>
          <w:pgSz w:w="11906" w:h="16838"/>
          <w:pgMar w:top="1440" w:right="1800" w:bottom="1440" w:left="1800" w:header="851" w:footer="992" w:gutter="0"/>
          <w:cols w:space="425" w:num="1"/>
          <w:docGrid w:type="lines" w:linePitch="312" w:charSpace="0"/>
        </w:sectPr>
      </w:pPr>
    </w:p>
    <w:p w14:paraId="399FB5A2">
      <w:pPr>
        <w:widowControl/>
        <w:spacing w:line="360" w:lineRule="atLeast"/>
        <w:jc w:val="left"/>
        <w:rPr>
          <w:rFonts w:ascii="宋体" w:hAnsi="宋体" w:eastAsia="宋体" w:cs="宋体"/>
          <w:b/>
          <w:kern w:val="0"/>
          <w:sz w:val="32"/>
          <w:szCs w:val="32"/>
        </w:rPr>
      </w:pPr>
      <w:r>
        <w:rPr>
          <w:rFonts w:ascii="宋体" w:hAnsi="宋体" w:eastAsia="宋体" w:cs="宋体"/>
          <w:b/>
          <w:kern w:val="0"/>
          <w:sz w:val="24"/>
          <w:szCs w:val="24"/>
        </w:rPr>
        <w:t>附件</w:t>
      </w:r>
      <w:r>
        <w:rPr>
          <w:rFonts w:hint="eastAsia" w:ascii="宋体" w:hAnsi="宋体" w:eastAsia="宋体" w:cs="宋体"/>
          <w:b/>
          <w:kern w:val="0"/>
          <w:sz w:val="24"/>
          <w:szCs w:val="24"/>
        </w:rPr>
        <w:t>5</w:t>
      </w:r>
      <w:r>
        <w:rPr>
          <w:rFonts w:ascii="宋体" w:hAnsi="宋体" w:eastAsia="宋体" w:cs="宋体"/>
          <w:b/>
          <w:kern w:val="0"/>
          <w:sz w:val="24"/>
          <w:szCs w:val="24"/>
        </w:rPr>
        <w:t>：</w:t>
      </w:r>
      <w:r>
        <w:rPr>
          <w:rFonts w:hint="eastAsia" w:ascii="宋体" w:hAnsi="宋体" w:eastAsia="宋体" w:cs="宋体"/>
          <w:b/>
          <w:kern w:val="0"/>
          <w:sz w:val="32"/>
          <w:szCs w:val="32"/>
        </w:rPr>
        <w:t>投标报价表1</w:t>
      </w:r>
    </w:p>
    <w:p w14:paraId="2352D946">
      <w:pPr>
        <w:widowControl/>
        <w:spacing w:line="360" w:lineRule="atLeast"/>
        <w:jc w:val="center"/>
        <w:rPr>
          <w:rFonts w:ascii="宋体" w:hAnsi="宋体" w:eastAsia="宋体" w:cs="宋体"/>
          <w:b/>
          <w:kern w:val="0"/>
          <w:sz w:val="32"/>
          <w:szCs w:val="32"/>
        </w:rPr>
      </w:pPr>
      <w:r>
        <w:drawing>
          <wp:anchor distT="0" distB="0" distL="114300" distR="114300" simplePos="0" relativeHeight="251659264" behindDoc="0" locked="0" layoutInCell="1" allowOverlap="1">
            <wp:simplePos x="0" y="0"/>
            <wp:positionH relativeFrom="column">
              <wp:posOffset>257175</wp:posOffset>
            </wp:positionH>
            <wp:positionV relativeFrom="paragraph">
              <wp:posOffset>10160</wp:posOffset>
            </wp:positionV>
            <wp:extent cx="8007985" cy="5063490"/>
            <wp:effectExtent l="0" t="0" r="12065" b="381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8007985" cy="5063490"/>
                    </a:xfrm>
                    <a:prstGeom prst="rect">
                      <a:avLst/>
                    </a:prstGeom>
                    <a:noFill/>
                    <a:ln>
                      <a:noFill/>
                    </a:ln>
                  </pic:spPr>
                </pic:pic>
              </a:graphicData>
            </a:graphic>
          </wp:anchor>
        </w:drawing>
      </w:r>
    </w:p>
    <w:p w14:paraId="0AF70F6D">
      <w:pPr>
        <w:widowControl/>
        <w:spacing w:line="360" w:lineRule="atLeast"/>
        <w:jc w:val="center"/>
        <w:rPr>
          <w:rFonts w:ascii="宋体" w:hAnsi="宋体" w:eastAsia="宋体" w:cs="宋体"/>
          <w:b/>
          <w:kern w:val="0"/>
          <w:sz w:val="32"/>
          <w:szCs w:val="32"/>
        </w:rPr>
      </w:pPr>
    </w:p>
    <w:p w14:paraId="1BA44298">
      <w:pPr>
        <w:widowControl/>
        <w:spacing w:line="360" w:lineRule="atLeast"/>
        <w:jc w:val="center"/>
        <w:rPr>
          <w:rFonts w:ascii="宋体" w:hAnsi="宋体" w:eastAsia="宋体" w:cs="宋体"/>
          <w:b/>
          <w:kern w:val="0"/>
          <w:sz w:val="32"/>
          <w:szCs w:val="32"/>
        </w:rPr>
      </w:pPr>
    </w:p>
    <w:p w14:paraId="06A21009">
      <w:pPr>
        <w:widowControl/>
        <w:spacing w:line="360" w:lineRule="atLeast"/>
        <w:jc w:val="center"/>
        <w:rPr>
          <w:rFonts w:ascii="宋体" w:hAnsi="宋体" w:eastAsia="宋体" w:cs="宋体"/>
          <w:b/>
          <w:kern w:val="0"/>
          <w:sz w:val="32"/>
          <w:szCs w:val="32"/>
        </w:rPr>
      </w:pPr>
    </w:p>
    <w:p w14:paraId="134FCBD4">
      <w:pPr>
        <w:widowControl/>
        <w:spacing w:line="360" w:lineRule="atLeast"/>
        <w:jc w:val="center"/>
        <w:rPr>
          <w:rFonts w:ascii="宋体" w:hAnsi="宋体" w:eastAsia="宋体" w:cs="宋体"/>
          <w:b/>
          <w:kern w:val="0"/>
          <w:sz w:val="32"/>
          <w:szCs w:val="32"/>
        </w:rPr>
      </w:pPr>
    </w:p>
    <w:p w14:paraId="38097B9B">
      <w:pPr>
        <w:widowControl/>
        <w:spacing w:line="360" w:lineRule="atLeast"/>
        <w:jc w:val="center"/>
        <w:rPr>
          <w:rFonts w:ascii="宋体" w:hAnsi="宋体" w:eastAsia="宋体" w:cs="宋体"/>
          <w:b/>
          <w:kern w:val="0"/>
          <w:sz w:val="32"/>
          <w:szCs w:val="32"/>
        </w:rPr>
      </w:pPr>
    </w:p>
    <w:p w14:paraId="11D2310C">
      <w:pPr>
        <w:widowControl/>
        <w:spacing w:line="360" w:lineRule="atLeast"/>
        <w:jc w:val="center"/>
        <w:rPr>
          <w:rFonts w:ascii="宋体" w:hAnsi="宋体" w:eastAsia="宋体" w:cs="宋体"/>
          <w:b/>
          <w:kern w:val="0"/>
          <w:sz w:val="32"/>
          <w:szCs w:val="32"/>
        </w:rPr>
      </w:pPr>
    </w:p>
    <w:p w14:paraId="18802732">
      <w:pPr>
        <w:widowControl/>
        <w:spacing w:line="360" w:lineRule="atLeast"/>
        <w:jc w:val="center"/>
        <w:rPr>
          <w:rFonts w:ascii="宋体" w:hAnsi="宋体" w:eastAsia="宋体" w:cs="宋体"/>
          <w:b/>
          <w:kern w:val="0"/>
          <w:sz w:val="32"/>
          <w:szCs w:val="32"/>
        </w:rPr>
      </w:pPr>
    </w:p>
    <w:p w14:paraId="300027F1">
      <w:pPr>
        <w:widowControl/>
        <w:spacing w:line="360" w:lineRule="atLeast"/>
        <w:jc w:val="center"/>
        <w:rPr>
          <w:rFonts w:ascii="宋体" w:hAnsi="宋体" w:eastAsia="宋体" w:cs="宋体"/>
          <w:b/>
          <w:kern w:val="0"/>
          <w:sz w:val="32"/>
          <w:szCs w:val="32"/>
        </w:rPr>
      </w:pPr>
    </w:p>
    <w:p w14:paraId="1913D7B1">
      <w:pPr>
        <w:widowControl/>
        <w:spacing w:line="360" w:lineRule="atLeast"/>
        <w:jc w:val="center"/>
        <w:rPr>
          <w:rFonts w:ascii="宋体" w:hAnsi="宋体" w:eastAsia="宋体" w:cs="宋体"/>
          <w:b/>
          <w:kern w:val="0"/>
          <w:sz w:val="32"/>
          <w:szCs w:val="32"/>
        </w:rPr>
      </w:pPr>
    </w:p>
    <w:p w14:paraId="2487866C">
      <w:pPr>
        <w:widowControl/>
        <w:spacing w:line="360" w:lineRule="atLeast"/>
        <w:jc w:val="center"/>
        <w:rPr>
          <w:rFonts w:ascii="宋体" w:hAnsi="宋体" w:eastAsia="宋体" w:cs="宋体"/>
          <w:b/>
          <w:kern w:val="0"/>
          <w:sz w:val="32"/>
          <w:szCs w:val="32"/>
        </w:rPr>
      </w:pPr>
    </w:p>
    <w:p w14:paraId="00316145">
      <w:pPr>
        <w:widowControl/>
        <w:spacing w:line="360" w:lineRule="atLeast"/>
        <w:rPr>
          <w:rFonts w:ascii="宋体" w:hAnsi="宋体" w:eastAsia="宋体" w:cs="宋体"/>
          <w:b/>
          <w:kern w:val="0"/>
          <w:sz w:val="32"/>
          <w:szCs w:val="32"/>
        </w:rPr>
      </w:pPr>
    </w:p>
    <w:p w14:paraId="1C8C9C77">
      <w:pPr>
        <w:widowControl/>
        <w:spacing w:line="360" w:lineRule="atLeast"/>
        <w:jc w:val="left"/>
        <w:rPr>
          <w:rFonts w:ascii="宋体" w:hAnsi="宋体" w:eastAsia="宋体" w:cs="宋体"/>
          <w:b/>
          <w:kern w:val="0"/>
          <w:sz w:val="32"/>
          <w:szCs w:val="32"/>
        </w:rPr>
      </w:pPr>
      <w:r>
        <w:rPr>
          <w:rFonts w:ascii="宋体" w:hAnsi="宋体" w:eastAsia="宋体" w:cs="宋体"/>
          <w:b/>
          <w:kern w:val="0"/>
          <w:sz w:val="24"/>
          <w:szCs w:val="24"/>
        </w:rPr>
        <w:t>附件</w:t>
      </w:r>
      <w:r>
        <w:rPr>
          <w:rFonts w:hint="eastAsia" w:ascii="宋体" w:hAnsi="宋体" w:eastAsia="宋体" w:cs="宋体"/>
          <w:b/>
          <w:kern w:val="0"/>
          <w:sz w:val="24"/>
          <w:szCs w:val="24"/>
        </w:rPr>
        <w:t>6</w:t>
      </w:r>
      <w:r>
        <w:rPr>
          <w:rFonts w:ascii="宋体" w:hAnsi="宋体" w:eastAsia="宋体" w:cs="宋体"/>
          <w:b/>
          <w:kern w:val="0"/>
          <w:sz w:val="24"/>
          <w:szCs w:val="24"/>
        </w:rPr>
        <w:t>：</w:t>
      </w:r>
      <w:r>
        <w:rPr>
          <w:rFonts w:hint="eastAsia" w:ascii="宋体" w:hAnsi="宋体" w:eastAsia="宋体" w:cs="宋体"/>
          <w:b/>
          <w:kern w:val="0"/>
          <w:sz w:val="32"/>
          <w:szCs w:val="32"/>
        </w:rPr>
        <w:t>投标报价表2</w:t>
      </w:r>
    </w:p>
    <w:p w14:paraId="625E2C4C">
      <w:pPr>
        <w:widowControl/>
        <w:spacing w:line="360" w:lineRule="atLeast"/>
        <w:jc w:val="center"/>
      </w:pPr>
      <w:r>
        <w:drawing>
          <wp:anchor distT="0" distB="0" distL="114300" distR="114300" simplePos="0" relativeHeight="251660288" behindDoc="0" locked="0" layoutInCell="1" allowOverlap="1">
            <wp:simplePos x="0" y="0"/>
            <wp:positionH relativeFrom="column">
              <wp:posOffset>43815</wp:posOffset>
            </wp:positionH>
            <wp:positionV relativeFrom="paragraph">
              <wp:posOffset>63500</wp:posOffset>
            </wp:positionV>
            <wp:extent cx="8871585" cy="4521200"/>
            <wp:effectExtent l="0" t="0" r="5715" b="1270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8871585" cy="4521200"/>
                    </a:xfrm>
                    <a:prstGeom prst="rect">
                      <a:avLst/>
                    </a:prstGeom>
                    <a:noFill/>
                    <a:ln>
                      <a:noFill/>
                    </a:ln>
                  </pic:spPr>
                </pic:pic>
              </a:graphicData>
            </a:graphic>
          </wp:anchor>
        </w:drawing>
      </w:r>
    </w:p>
    <w:p w14:paraId="228C7539">
      <w:pPr>
        <w:widowControl/>
        <w:spacing w:line="360" w:lineRule="atLeast"/>
        <w:jc w:val="center"/>
      </w:pPr>
    </w:p>
    <w:p w14:paraId="62904FFC">
      <w:pPr>
        <w:widowControl/>
        <w:spacing w:line="360" w:lineRule="atLeast"/>
        <w:jc w:val="center"/>
      </w:pPr>
    </w:p>
    <w:p w14:paraId="4575C398">
      <w:pPr>
        <w:widowControl/>
        <w:spacing w:line="360" w:lineRule="atLeast"/>
        <w:jc w:val="center"/>
      </w:pPr>
    </w:p>
    <w:p w14:paraId="1C274673">
      <w:pPr>
        <w:widowControl/>
        <w:spacing w:line="360" w:lineRule="atLeast"/>
        <w:jc w:val="center"/>
      </w:pPr>
    </w:p>
    <w:p w14:paraId="12BBB7E4">
      <w:pPr>
        <w:widowControl/>
        <w:spacing w:line="360" w:lineRule="atLeast"/>
        <w:jc w:val="center"/>
      </w:pPr>
    </w:p>
    <w:p w14:paraId="2CC16AB7">
      <w:pPr>
        <w:widowControl/>
        <w:spacing w:line="360" w:lineRule="atLeast"/>
        <w:jc w:val="center"/>
      </w:pPr>
    </w:p>
    <w:p w14:paraId="17DC40C1">
      <w:pPr>
        <w:widowControl/>
        <w:spacing w:line="360" w:lineRule="atLeast"/>
        <w:jc w:val="center"/>
      </w:pPr>
    </w:p>
    <w:p w14:paraId="13D1725F">
      <w:pPr>
        <w:widowControl/>
        <w:spacing w:line="360" w:lineRule="atLeast"/>
        <w:jc w:val="center"/>
      </w:pPr>
    </w:p>
    <w:p w14:paraId="745924C1">
      <w:pPr>
        <w:widowControl/>
        <w:spacing w:line="360" w:lineRule="atLeast"/>
        <w:jc w:val="center"/>
      </w:pPr>
    </w:p>
    <w:p w14:paraId="2D6DD123">
      <w:pPr>
        <w:widowControl/>
        <w:spacing w:line="360" w:lineRule="atLeast"/>
        <w:jc w:val="center"/>
      </w:pPr>
    </w:p>
    <w:p w14:paraId="4C2AF2D8">
      <w:pPr>
        <w:widowControl/>
        <w:spacing w:line="360" w:lineRule="atLeast"/>
        <w:jc w:val="center"/>
      </w:pPr>
    </w:p>
    <w:p w14:paraId="672AEB40">
      <w:pPr>
        <w:widowControl/>
        <w:spacing w:line="360" w:lineRule="atLeast"/>
        <w:jc w:val="center"/>
      </w:pPr>
    </w:p>
    <w:p w14:paraId="7566EDDB">
      <w:pPr>
        <w:widowControl/>
        <w:spacing w:line="360" w:lineRule="atLeast"/>
        <w:jc w:val="center"/>
      </w:pPr>
    </w:p>
    <w:p w14:paraId="2DE9EDBD">
      <w:pPr>
        <w:widowControl/>
        <w:spacing w:line="360" w:lineRule="atLeast"/>
        <w:jc w:val="center"/>
      </w:pPr>
    </w:p>
    <w:p w14:paraId="6ECC4C07">
      <w:pPr>
        <w:widowControl/>
        <w:spacing w:line="360" w:lineRule="atLeast"/>
        <w:jc w:val="center"/>
      </w:pPr>
    </w:p>
    <w:p w14:paraId="0489C02A">
      <w:pPr>
        <w:widowControl/>
        <w:spacing w:line="360" w:lineRule="atLeast"/>
        <w:jc w:val="center"/>
      </w:pPr>
    </w:p>
    <w:p w14:paraId="35374F08">
      <w:pPr>
        <w:widowControl/>
        <w:spacing w:line="360" w:lineRule="atLeast"/>
        <w:jc w:val="center"/>
      </w:pPr>
    </w:p>
    <w:p w14:paraId="33163A5E">
      <w:pPr>
        <w:widowControl/>
        <w:spacing w:line="360" w:lineRule="atLeast"/>
        <w:jc w:val="center"/>
      </w:pPr>
    </w:p>
    <w:p w14:paraId="42CC496D">
      <w:pPr>
        <w:widowControl/>
        <w:spacing w:line="360" w:lineRule="atLeast"/>
        <w:jc w:val="center"/>
      </w:pPr>
    </w:p>
    <w:p w14:paraId="5C0F4C50">
      <w:pPr>
        <w:widowControl/>
        <w:spacing w:line="360" w:lineRule="atLeast"/>
        <w:jc w:val="left"/>
        <w:rPr>
          <w:rFonts w:ascii="宋体" w:hAnsi="宋体" w:eastAsia="宋体" w:cs="宋体"/>
          <w:b/>
          <w:kern w:val="0"/>
          <w:sz w:val="32"/>
          <w:szCs w:val="32"/>
        </w:rPr>
      </w:pPr>
      <w:r>
        <w:drawing>
          <wp:anchor distT="0" distB="0" distL="114300" distR="114300" simplePos="0" relativeHeight="251660288" behindDoc="0" locked="0" layoutInCell="1" allowOverlap="1">
            <wp:simplePos x="0" y="0"/>
            <wp:positionH relativeFrom="column">
              <wp:posOffset>119380</wp:posOffset>
            </wp:positionH>
            <wp:positionV relativeFrom="paragraph">
              <wp:posOffset>387350</wp:posOffset>
            </wp:positionV>
            <wp:extent cx="8050530" cy="5095875"/>
            <wp:effectExtent l="0" t="0" r="7620" b="9525"/>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8"/>
                    <a:stretch>
                      <a:fillRect/>
                    </a:stretch>
                  </pic:blipFill>
                  <pic:spPr>
                    <a:xfrm>
                      <a:off x="0" y="0"/>
                      <a:ext cx="8050530" cy="5095875"/>
                    </a:xfrm>
                    <a:prstGeom prst="rect">
                      <a:avLst/>
                    </a:prstGeom>
                    <a:noFill/>
                    <a:ln>
                      <a:noFill/>
                    </a:ln>
                  </pic:spPr>
                </pic:pic>
              </a:graphicData>
            </a:graphic>
          </wp:anchor>
        </w:drawing>
      </w:r>
      <w:r>
        <w:rPr>
          <w:rFonts w:ascii="宋体" w:hAnsi="宋体" w:eastAsia="宋体" w:cs="宋体"/>
          <w:b/>
          <w:kern w:val="0"/>
          <w:sz w:val="24"/>
          <w:szCs w:val="24"/>
        </w:rPr>
        <w:t>附件</w:t>
      </w:r>
      <w:r>
        <w:rPr>
          <w:rFonts w:hint="eastAsia" w:ascii="宋体" w:hAnsi="宋体" w:eastAsia="宋体" w:cs="宋体"/>
          <w:b/>
          <w:kern w:val="0"/>
          <w:sz w:val="24"/>
          <w:szCs w:val="24"/>
        </w:rPr>
        <w:t>7</w:t>
      </w:r>
      <w:r>
        <w:rPr>
          <w:rFonts w:ascii="宋体" w:hAnsi="宋体" w:eastAsia="宋体" w:cs="宋体"/>
          <w:b/>
          <w:kern w:val="0"/>
          <w:sz w:val="24"/>
          <w:szCs w:val="24"/>
        </w:rPr>
        <w:t>：</w:t>
      </w:r>
      <w:r>
        <w:rPr>
          <w:rFonts w:hint="eastAsia" w:ascii="宋体" w:hAnsi="宋体" w:eastAsia="宋体" w:cs="宋体"/>
          <w:b/>
          <w:kern w:val="0"/>
          <w:sz w:val="32"/>
          <w:szCs w:val="32"/>
        </w:rPr>
        <w:t>投标报价表3</w:t>
      </w:r>
    </w:p>
    <w:p w14:paraId="7C0FCD1B">
      <w:pPr>
        <w:widowControl/>
        <w:spacing w:line="360" w:lineRule="atLeast"/>
        <w:jc w:val="left"/>
        <w:rPr>
          <w:rFonts w:ascii="宋体" w:hAnsi="宋体" w:eastAsia="宋体" w:cs="宋体"/>
          <w:b/>
          <w:kern w:val="0"/>
          <w:sz w:val="32"/>
          <w:szCs w:val="32"/>
        </w:rPr>
      </w:pPr>
    </w:p>
    <w:p w14:paraId="05DC5699">
      <w:pPr>
        <w:widowControl/>
        <w:spacing w:line="360" w:lineRule="atLeast"/>
        <w:jc w:val="left"/>
        <w:rPr>
          <w:rFonts w:ascii="宋体" w:hAnsi="宋体" w:eastAsia="宋体" w:cs="宋体"/>
          <w:strike/>
          <w:kern w:val="0"/>
          <w:szCs w:val="21"/>
        </w:rPr>
      </w:pPr>
    </w:p>
    <w:p w14:paraId="6FAD0815">
      <w:pPr>
        <w:widowControl/>
        <w:spacing w:line="360" w:lineRule="atLeast"/>
        <w:jc w:val="center"/>
        <w:rPr>
          <w:rFonts w:ascii="宋体" w:hAnsi="宋体" w:eastAsia="宋体" w:cs="宋体"/>
          <w:strike/>
          <w:kern w:val="0"/>
          <w:szCs w:val="21"/>
        </w:rPr>
        <w:sectPr>
          <w:pgSz w:w="16838" w:h="11906" w:orient="landscape"/>
          <w:pgMar w:top="1800" w:right="1440" w:bottom="1800" w:left="1440" w:header="851" w:footer="992" w:gutter="0"/>
          <w:cols w:space="425" w:num="1"/>
          <w:docGrid w:type="lines" w:linePitch="312" w:charSpace="0"/>
        </w:sectPr>
      </w:pPr>
    </w:p>
    <w:p w14:paraId="1E565A2A">
      <w:pPr>
        <w:adjustRightInd w:val="0"/>
        <w:snapToGrid w:val="0"/>
        <w:spacing w:line="460" w:lineRule="exact"/>
        <w:jc w:val="left"/>
        <w:rPr>
          <w:rFonts w:ascii="宋体" w:hAnsi="宋体" w:cs="宋体"/>
          <w:color w:val="000000"/>
          <w:kern w:val="0"/>
          <w:sz w:val="24"/>
          <w:szCs w:val="24"/>
        </w:rPr>
      </w:pPr>
      <w:r>
        <w:rPr>
          <w:rFonts w:hint="eastAsia" w:ascii="宋体" w:hAnsi="宋体" w:eastAsia="宋体" w:cs="宋体"/>
          <w:b/>
          <w:kern w:val="0"/>
          <w:sz w:val="24"/>
          <w:szCs w:val="24"/>
        </w:rPr>
        <w:t>附件8：</w:t>
      </w:r>
    </w:p>
    <w:p w14:paraId="6229CB5F">
      <w:pPr>
        <w:spacing w:beforeLines="100" w:afterLines="100" w:line="560" w:lineRule="exact"/>
        <w:jc w:val="center"/>
        <w:rPr>
          <w:rFonts w:ascii="方正小标宋简体" w:hAnsi="方正小标宋简体" w:eastAsia="方正小标宋简体" w:cs="方正小标宋简体"/>
          <w:bCs/>
          <w:color w:val="333333"/>
          <w:sz w:val="44"/>
          <w:szCs w:val="44"/>
        </w:rPr>
      </w:pPr>
      <w:r>
        <w:rPr>
          <w:rFonts w:hint="eastAsia" w:ascii="方正小标宋简体" w:hAnsi="方正小标宋简体" w:eastAsia="方正小标宋简体" w:cs="方正小标宋简体"/>
          <w:bCs/>
          <w:color w:val="333333"/>
          <w:sz w:val="44"/>
          <w:szCs w:val="44"/>
        </w:rPr>
        <w:t>廉洁承诺协议书</w:t>
      </w:r>
    </w:p>
    <w:p w14:paraId="0DB95420">
      <w:pPr>
        <w:spacing w:line="560" w:lineRule="exact"/>
        <w:ind w:right="630" w:rightChars="300"/>
        <w:rPr>
          <w:rFonts w:ascii="仿宋_GB2312" w:hAnsi="仿宋_GB2312" w:eastAsia="仿宋_GB2312" w:cs="仿宋_GB2312"/>
          <w:color w:val="333333"/>
          <w:sz w:val="32"/>
          <w:szCs w:val="32"/>
        </w:rPr>
      </w:pPr>
      <w:r>
        <w:rPr>
          <w:rFonts w:hint="eastAsia" w:ascii="黑体" w:hAnsi="黑体" w:eastAsia="黑体" w:cs="黑体"/>
          <w:color w:val="333333"/>
          <w:sz w:val="32"/>
          <w:szCs w:val="32"/>
        </w:rPr>
        <w:t>甲方：</w:t>
      </w:r>
      <w:r>
        <w:rPr>
          <w:rFonts w:hint="eastAsia" w:ascii="仿宋_GB2312" w:hAnsi="仿宋_GB2312" w:eastAsia="仿宋_GB2312" w:cs="仿宋_GB2312"/>
          <w:color w:val="333333"/>
          <w:sz w:val="32"/>
          <w:szCs w:val="32"/>
          <w:u w:val="single"/>
        </w:rPr>
        <w:t xml:space="preserve"> 广州柴油机厂股份有限公司</w:t>
      </w:r>
    </w:p>
    <w:p w14:paraId="782EC57D">
      <w:pPr>
        <w:spacing w:line="560" w:lineRule="exact"/>
        <w:ind w:right="630" w:rightChars="300"/>
        <w:rPr>
          <w:rFonts w:ascii="仿宋_GB2312" w:hAnsi="仿宋_GB2312" w:eastAsia="仿宋_GB2312" w:cs="仿宋_GB2312"/>
          <w:color w:val="333333"/>
          <w:sz w:val="32"/>
          <w:szCs w:val="32"/>
          <w:u w:val="single"/>
        </w:rPr>
      </w:pPr>
      <w:r>
        <w:rPr>
          <w:rFonts w:hint="eastAsia" w:ascii="黑体" w:hAnsi="黑体" w:eastAsia="黑体" w:cs="黑体"/>
          <w:color w:val="333333"/>
          <w:sz w:val="32"/>
          <w:szCs w:val="32"/>
        </w:rPr>
        <w:t>法定代表人：</w:t>
      </w:r>
    </w:p>
    <w:p w14:paraId="207A161F">
      <w:pPr>
        <w:spacing w:line="560" w:lineRule="exact"/>
        <w:ind w:right="630" w:rightChars="300"/>
        <w:rPr>
          <w:rFonts w:ascii="仿宋_GB2312" w:hAnsi="仿宋_GB2312" w:eastAsia="仿宋_GB2312" w:cs="仿宋_GB2312"/>
          <w:color w:val="333333"/>
          <w:sz w:val="32"/>
          <w:szCs w:val="32"/>
        </w:rPr>
      </w:pPr>
      <w:r>
        <w:rPr>
          <w:rFonts w:hint="eastAsia" w:ascii="黑体" w:hAnsi="黑体" w:eastAsia="黑体" w:cs="黑体"/>
          <w:color w:val="333333"/>
          <w:sz w:val="32"/>
          <w:szCs w:val="32"/>
        </w:rPr>
        <w:t>联系电话：</w:t>
      </w:r>
    </w:p>
    <w:p w14:paraId="62C31382">
      <w:pPr>
        <w:spacing w:line="560" w:lineRule="exact"/>
        <w:ind w:right="630" w:rightChars="300"/>
        <w:rPr>
          <w:rFonts w:ascii="仿宋_GB2312" w:hAnsi="仿宋_GB2312" w:eastAsia="仿宋_GB2312" w:cs="仿宋_GB2312"/>
          <w:color w:val="333333"/>
          <w:sz w:val="32"/>
          <w:szCs w:val="32"/>
        </w:rPr>
      </w:pPr>
      <w:r>
        <w:rPr>
          <w:rFonts w:hint="eastAsia" w:ascii="黑体" w:hAnsi="黑体" w:eastAsia="黑体" w:cs="黑体"/>
          <w:color w:val="333333"/>
          <w:sz w:val="32"/>
          <w:szCs w:val="32"/>
        </w:rPr>
        <w:t>通讯地址:</w:t>
      </w:r>
    </w:p>
    <w:p w14:paraId="540E627F">
      <w:pPr>
        <w:spacing w:line="560" w:lineRule="exact"/>
        <w:ind w:right="630" w:rightChars="300"/>
        <w:rPr>
          <w:rFonts w:ascii="仿宋_GB2312" w:hAnsi="仿宋_GB2312" w:eastAsia="仿宋_GB2312" w:cs="仿宋_GB2312"/>
          <w:color w:val="333333"/>
          <w:sz w:val="32"/>
          <w:szCs w:val="32"/>
        </w:rPr>
      </w:pPr>
      <w:r>
        <w:rPr>
          <w:rFonts w:hint="eastAsia" w:ascii="黑体" w:hAnsi="黑体" w:eastAsia="黑体" w:cs="黑体"/>
          <w:color w:val="333333"/>
          <w:sz w:val="32"/>
          <w:szCs w:val="32"/>
        </w:rPr>
        <w:t>邮编：</w:t>
      </w:r>
    </w:p>
    <w:p w14:paraId="1C7C2E53">
      <w:pPr>
        <w:spacing w:line="560" w:lineRule="exact"/>
        <w:ind w:right="630" w:rightChars="300" w:firstLine="640" w:firstLineChars="200"/>
        <w:rPr>
          <w:rFonts w:ascii="仿宋_GB2312" w:hAnsi="仿宋_GB2312" w:eastAsia="仿宋_GB2312" w:cs="仿宋_GB2312"/>
          <w:color w:val="333333"/>
          <w:sz w:val="32"/>
          <w:szCs w:val="32"/>
        </w:rPr>
      </w:pPr>
    </w:p>
    <w:p w14:paraId="0A998639">
      <w:pPr>
        <w:spacing w:line="560" w:lineRule="exact"/>
        <w:ind w:right="630" w:rightChars="300"/>
        <w:rPr>
          <w:rFonts w:ascii="仿宋_GB2312" w:hAnsi="仿宋_GB2312" w:eastAsia="仿宋_GB2312" w:cs="仿宋_GB2312"/>
          <w:color w:val="333333"/>
          <w:sz w:val="32"/>
          <w:szCs w:val="32"/>
        </w:rPr>
      </w:pPr>
      <w:r>
        <w:rPr>
          <w:rFonts w:hint="eastAsia" w:ascii="黑体" w:hAnsi="黑体" w:eastAsia="黑体" w:cs="黑体"/>
          <w:color w:val="333333"/>
          <w:sz w:val="32"/>
          <w:szCs w:val="32"/>
        </w:rPr>
        <w:t>乙方：</w:t>
      </w:r>
    </w:p>
    <w:p w14:paraId="00E1AA04">
      <w:pPr>
        <w:spacing w:line="560" w:lineRule="exact"/>
        <w:ind w:right="630" w:rightChars="300"/>
        <w:rPr>
          <w:rFonts w:ascii="仿宋_GB2312" w:hAnsi="仿宋_GB2312" w:eastAsia="仿宋_GB2312" w:cs="仿宋_GB2312"/>
          <w:color w:val="333333"/>
          <w:sz w:val="32"/>
          <w:szCs w:val="32"/>
          <w:u w:val="single"/>
        </w:rPr>
      </w:pPr>
      <w:r>
        <w:rPr>
          <w:rFonts w:hint="eastAsia" w:ascii="黑体" w:hAnsi="黑体" w:eastAsia="黑体" w:cs="黑体"/>
          <w:color w:val="333333"/>
          <w:sz w:val="32"/>
          <w:szCs w:val="32"/>
        </w:rPr>
        <w:t>法定代表人：</w:t>
      </w:r>
    </w:p>
    <w:p w14:paraId="4103BBFE">
      <w:pPr>
        <w:spacing w:line="560" w:lineRule="exact"/>
        <w:ind w:right="630" w:rightChars="300"/>
        <w:rPr>
          <w:rFonts w:ascii="仿宋_GB2312" w:hAnsi="仿宋_GB2312" w:eastAsia="仿宋_GB2312" w:cs="仿宋_GB2312"/>
          <w:color w:val="333333"/>
          <w:sz w:val="32"/>
          <w:szCs w:val="32"/>
        </w:rPr>
      </w:pPr>
      <w:r>
        <w:rPr>
          <w:rFonts w:hint="eastAsia" w:ascii="黑体" w:hAnsi="黑体" w:eastAsia="黑体" w:cs="黑体"/>
          <w:color w:val="333333"/>
          <w:sz w:val="32"/>
          <w:szCs w:val="32"/>
        </w:rPr>
        <w:t>联系电话：</w:t>
      </w:r>
    </w:p>
    <w:p w14:paraId="3E6084C3">
      <w:pPr>
        <w:spacing w:line="560" w:lineRule="exact"/>
        <w:ind w:right="630" w:rightChars="300"/>
        <w:rPr>
          <w:rFonts w:ascii="仿宋_GB2312" w:hAnsi="仿宋_GB2312" w:eastAsia="仿宋_GB2312" w:cs="仿宋_GB2312"/>
          <w:color w:val="333333"/>
          <w:sz w:val="32"/>
          <w:szCs w:val="32"/>
        </w:rPr>
      </w:pPr>
      <w:r>
        <w:rPr>
          <w:rFonts w:hint="eastAsia" w:ascii="黑体" w:hAnsi="黑体" w:eastAsia="黑体" w:cs="黑体"/>
          <w:color w:val="333333"/>
          <w:sz w:val="32"/>
          <w:szCs w:val="32"/>
        </w:rPr>
        <w:t>通讯地址:</w:t>
      </w:r>
    </w:p>
    <w:p w14:paraId="6798BFA4">
      <w:pPr>
        <w:pStyle w:val="34"/>
        <w:wordWrap/>
        <w:spacing w:beforeLines="0" w:line="560" w:lineRule="exact"/>
        <w:ind w:left="0" w:firstLine="0" w:firstLineChars="0"/>
        <w:rPr>
          <w:rFonts w:ascii="仿宋_GB2312" w:hAnsi="仿宋_GB2312" w:eastAsia="仿宋_GB2312" w:cs="仿宋_GB2312"/>
          <w:color w:val="333333"/>
          <w:sz w:val="32"/>
          <w:szCs w:val="32"/>
          <w:u w:val="single"/>
        </w:rPr>
      </w:pPr>
      <w:r>
        <w:rPr>
          <w:rFonts w:hint="eastAsia" w:ascii="黑体" w:hAnsi="黑体" w:eastAsia="黑体" w:cs="黑体"/>
          <w:color w:val="333333"/>
          <w:sz w:val="32"/>
          <w:szCs w:val="32"/>
        </w:rPr>
        <w:t>邮编：</w:t>
      </w:r>
    </w:p>
    <w:p w14:paraId="24F33EC5">
      <w:pPr>
        <w:pStyle w:val="34"/>
        <w:wordWrap/>
        <w:spacing w:beforeLines="0" w:line="560" w:lineRule="exact"/>
        <w:ind w:left="0" w:firstLine="0" w:firstLineChars="0"/>
        <w:rPr>
          <w:rFonts w:ascii="仿宋_GB2312" w:hAnsi="仿宋_GB2312" w:eastAsia="仿宋_GB2312" w:cs="仿宋_GB2312"/>
          <w:color w:val="333333"/>
          <w:sz w:val="32"/>
          <w:szCs w:val="32"/>
          <w:u w:val="single"/>
        </w:rPr>
      </w:pPr>
    </w:p>
    <w:p w14:paraId="78A03C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甲乙双方订立、履行合同过程中，为保持廉洁自律的工作作风，防止发生各种谋取不正当利益的违法、违纪行为，增强双方依法经营、廉洁从业意识，完善自我约束、自我监督机制，营造守法诚信、廉洁高效的工作环境，保护国家、集体和当事人的合法权益，特订立本廉洁协议：</w:t>
      </w:r>
    </w:p>
    <w:p w14:paraId="7AF4FE8F">
      <w:pPr>
        <w:spacing w:line="560" w:lineRule="exact"/>
        <w:ind w:right="630" w:rightChars="300"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第一条双方共同的责任和义务</w:t>
      </w:r>
    </w:p>
    <w:p w14:paraId="37F8D7FF">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（一）严格遵守国家、地方法律法规以及本协议的约定，在合同的订立、履行过程中廉洁自律。</w:t>
      </w:r>
    </w:p>
    <w:p w14:paraId="5C33CFDA">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（二）甲乙双方在合作过程中，发现对方工作人员存在违纪违法行为时，及时主动向对方公司反映和举报。  </w:t>
      </w:r>
    </w:p>
    <w:p w14:paraId="76F41C5B">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（三）不以任何方式与其他单位、人员串通，不做任何损害对方利益和影响双方廉洁合作的行为。 </w:t>
      </w:r>
    </w:p>
    <w:p w14:paraId="47FC8FEC">
      <w:pPr>
        <w:spacing w:line="560" w:lineRule="exact"/>
        <w:ind w:right="630" w:rightChars="300"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第二条甲方的责任和义务</w:t>
      </w:r>
    </w:p>
    <w:p w14:paraId="4FAF0FC4">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（一）贯彻落实上级和广州柴油机厂股份有限公司有关党风廉洁建设及廉洁从业的规定。</w:t>
      </w:r>
    </w:p>
    <w:p w14:paraId="05745202">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（二）不得以任何形式索要或接受回扣、红包、礼金、购物卡、有价证券、贵重物品和好处费、感谢费等；</w:t>
      </w:r>
    </w:p>
    <w:p w14:paraId="0C6021FB">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（三）不得在乙方或相关单位报销任何应由甲方或个人支付的费用；</w:t>
      </w:r>
    </w:p>
    <w:p w14:paraId="61B8D6B0">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（四）不得参加乙方或相关单位发起的可能对公正开展业务有影响的宴请、娱乐活动、旅游和国内外考察等。</w:t>
      </w:r>
    </w:p>
    <w:p w14:paraId="71870A18">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（五）不得暗示、要求或者接受乙方或相关单位为其住房装修、婚丧嫁娶、配偶子女等家属的工作安排以及出国等提供方便。</w:t>
      </w:r>
    </w:p>
    <w:p w14:paraId="348107AF">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（六）不得向乙方或相关单位介绍配偶、子女、亲属参与与乙方有关的经济活动。</w:t>
      </w:r>
    </w:p>
    <w:p w14:paraId="58611D25">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（七）不得参与影响相关正常工作和公正开展的其他活动。</w:t>
      </w:r>
    </w:p>
    <w:p w14:paraId="595C6636">
      <w:pPr>
        <w:spacing w:line="560" w:lineRule="exact"/>
        <w:ind w:right="630" w:rightChars="300"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第三条乙方的责任和义务</w:t>
      </w:r>
    </w:p>
    <w:p w14:paraId="07D1B0A5">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（一） 不得以任何理由为甲方或相关单位报销应由甲方或个人支付的费用；</w:t>
      </w:r>
    </w:p>
    <w:p w14:paraId="738998A1">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（二）不得以任何理由向甲方及甲方的其他关联公司的负责人及其工作人员赠送回扣、红包、礼金、购物卡、有价证券、贵重物品和好处费、感谢费等；</w:t>
      </w:r>
    </w:p>
    <w:p w14:paraId="20012970">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（三）不得以任何理由为甲方、与甲方相关的单位或个人提供高消费宴请及娱乐活动；</w:t>
      </w:r>
    </w:p>
    <w:p w14:paraId="771677C5">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（四）不得以任何理由为甲方、与甲方相关的单位或个人购置或提供通讯工具、交通工具和高档办公用品；</w:t>
      </w:r>
    </w:p>
    <w:p w14:paraId="5A2C3BD7">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（五）不得以任何理由为甲方、与甲方相关的单位或个人装修住房、婚丧嫁取、配偶子女等家属的工作安排以及境内外旅游等提供方便；</w:t>
      </w:r>
    </w:p>
    <w:p w14:paraId="008EE00F">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（六）不得以谋取非正当利益为目的，擅自与甲方工作人员就业务问题进行私下商谈或者达成利益默契；</w:t>
      </w:r>
    </w:p>
    <w:p w14:paraId="58FF5E89">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（七）乙方如发现甲方工作人员有违反上述协议者，应向甲方举报。甲方不得找任何借口对乙方进行报复。甲方对举报属实和严格遵守廉洁协议的乙方，在同等条件下优先考虑与其合作。</w:t>
      </w:r>
    </w:p>
    <w:p w14:paraId="71625DF5">
      <w:pPr>
        <w:spacing w:line="560" w:lineRule="exact"/>
        <w:ind w:right="630" w:rightChars="300"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第四条法律责任</w:t>
      </w:r>
    </w:p>
    <w:p w14:paraId="5292D069">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（一）甲方或甲方工作人员违反本协议的，经查证属实，严格按照管理权限，依据有关法律法规和规章制度给予相关人员纪律处分或组织处理；相关工作人员涉嫌犯罪的，移送司法机关依法追究刑事责任。</w:t>
      </w:r>
    </w:p>
    <w:p w14:paraId="4793218C">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（二）乙方及其工作人员违反本协议的，经查证属实，甲方有权立即单方解除与乙方已签订的相关业务合同，终止相关业务合作；涉嫌犯罪的，移送司法机关依法追究刑事责任。</w:t>
      </w:r>
    </w:p>
    <w:p w14:paraId="117F6093">
      <w:pPr>
        <w:spacing w:line="560" w:lineRule="exact"/>
        <w:ind w:right="630" w:rightChars="300"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第五条监督及投诉</w:t>
      </w:r>
    </w:p>
    <w:p w14:paraId="672C37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任何一方如有任何意见、建议等，可通过以下途径反映。</w:t>
      </w:r>
    </w:p>
    <w:p w14:paraId="5A3D08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接受举报方将按规定对举报人所举报内容和个人联系方式等个人信息进行保密。为方便联系，请举报人留下便于我们沟通的联系方式。 举报人也可匿名举报。</w:t>
      </w:r>
    </w:p>
    <w:p w14:paraId="16522EBB">
      <w:pPr>
        <w:spacing w:line="560" w:lineRule="exact"/>
        <w:ind w:right="630" w:rightChars="300" w:firstLine="640" w:firstLineChars="200"/>
        <w:rPr>
          <w:rStyle w:val="12"/>
          <w:rFonts w:ascii="仿宋_GB2312" w:hAnsi="仿宋_GB2312" w:eastAsia="仿宋_GB2312" w:cs="仿宋_GB2312"/>
          <w:b w:val="0"/>
          <w:sz w:val="32"/>
          <w:szCs w:val="32"/>
        </w:rPr>
      </w:pPr>
      <w:r>
        <w:rPr>
          <w:rStyle w:val="12"/>
          <w:rFonts w:hint="eastAsia" w:ascii="仿宋_GB2312" w:hAnsi="仿宋_GB2312" w:eastAsia="仿宋_GB2312" w:cs="仿宋_GB2312"/>
          <w:b w:val="0"/>
          <w:sz w:val="32"/>
          <w:szCs w:val="32"/>
        </w:rPr>
        <w:t>甲方受理举报部门：纪委办公室</w:t>
      </w:r>
    </w:p>
    <w:p w14:paraId="04904A9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举报投诉电子邮箱：gdfjwxf@gdfdiesel.com.cn            </w:t>
      </w:r>
    </w:p>
    <w:p w14:paraId="6FE60A4D">
      <w:pPr>
        <w:spacing w:line="560" w:lineRule="exact"/>
        <w:ind w:right="630" w:rightChars="300" w:firstLine="640" w:firstLineChars="200"/>
        <w:rPr>
          <w:rFonts w:ascii="黑体" w:hAnsi="黑体" w:eastAsia="黑体" w:cs="黑体"/>
          <w:color w:val="333333"/>
          <w:sz w:val="32"/>
          <w:szCs w:val="32"/>
        </w:rPr>
      </w:pPr>
      <w:r>
        <w:rPr>
          <w:rFonts w:hint="eastAsia" w:ascii="黑体" w:hAnsi="黑体" w:eastAsia="黑体" w:cs="黑体"/>
          <w:color w:val="333333"/>
          <w:sz w:val="32"/>
          <w:szCs w:val="32"/>
        </w:rPr>
        <w:t>第六条  其他</w:t>
      </w:r>
    </w:p>
    <w:p w14:paraId="1967218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（一）甲乙双方确认在签订本协议前已仔细阅读条款内容，甲乙双方对本廉洁协议所产生的法律责任已清楚知悉并承诺遵守。</w:t>
      </w:r>
    </w:p>
    <w:p w14:paraId="155255F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（二）本协议自甲乙双方签字或盖章后生效，本协议作为《【</w:t>
      </w:r>
      <w:r>
        <w:rPr>
          <w:rFonts w:hint="eastAsia" w:ascii="宋体" w:hAnsi="宋体" w:cs="宋体"/>
          <w:color w:val="000000"/>
          <w:kern w:val="0"/>
          <w:sz w:val="24"/>
          <w:szCs w:val="24"/>
        </w:rPr>
        <w:t>GCGF-YY-CG-2026-0010</w:t>
      </w:r>
      <w:r>
        <w:rPr>
          <w:rFonts w:hint="eastAsia" w:ascii="仿宋_GB2312" w:hAnsi="仿宋_GB2312" w:eastAsia="仿宋_GB2312" w:cs="仿宋_GB2312"/>
          <w:sz w:val="32"/>
          <w:szCs w:val="32"/>
        </w:rPr>
        <w:t>】广柴股份本部2026年生产物资运输合同》的从合同，与其具有同等法律效力。</w:t>
      </w:r>
    </w:p>
    <w:p w14:paraId="2183636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（三）本协议一式【二】份，甲方执【一】份，乙方执【一】份。</w:t>
      </w:r>
    </w:p>
    <w:p w14:paraId="1259DF9C">
      <w:pPr>
        <w:spacing w:line="560" w:lineRule="exact"/>
        <w:rPr>
          <w:rFonts w:ascii="仿宋_GB2312" w:hAnsi="仿宋_GB2312" w:eastAsia="仿宋_GB2312" w:cs="仿宋_GB2312"/>
          <w:color w:val="FF0000"/>
          <w:sz w:val="32"/>
          <w:szCs w:val="32"/>
        </w:rPr>
      </w:pPr>
    </w:p>
    <w:p w14:paraId="0D15CD67">
      <w:pPr>
        <w:spacing w:line="560" w:lineRule="exact"/>
        <w:rPr>
          <w:rFonts w:ascii="仿宋_GB2312" w:hAnsi="仿宋_GB2312" w:eastAsia="仿宋_GB2312" w:cs="仿宋_GB2312"/>
          <w:color w:val="FF0000"/>
          <w:sz w:val="32"/>
          <w:szCs w:val="32"/>
        </w:rPr>
      </w:pPr>
    </w:p>
    <w:p w14:paraId="28565EB6">
      <w:pPr>
        <w:spacing w:line="560" w:lineRule="exact"/>
        <w:rPr>
          <w:rFonts w:ascii="仿宋_GB2312" w:hAnsi="仿宋_GB2312" w:eastAsia="仿宋_GB2312" w:cs="仿宋_GB2312"/>
          <w:sz w:val="32"/>
          <w:szCs w:val="32"/>
        </w:rPr>
      </w:pPr>
      <w:r>
        <w:rPr>
          <w:rFonts w:hint="eastAsia" w:ascii="黑体" w:hAnsi="黑体" w:eastAsia="黑体" w:cs="黑体"/>
          <w:sz w:val="32"/>
          <w:szCs w:val="32"/>
        </w:rPr>
        <w:t>甲方（盖章）：</w:t>
      </w:r>
    </w:p>
    <w:p w14:paraId="11439848">
      <w:pPr>
        <w:spacing w:line="560" w:lineRule="exact"/>
        <w:rPr>
          <w:rFonts w:ascii="仿宋_GB2312" w:hAnsi="仿宋_GB2312" w:eastAsia="仿宋_GB2312" w:cs="仿宋_GB2312"/>
          <w:sz w:val="32"/>
          <w:szCs w:val="32"/>
        </w:rPr>
      </w:pPr>
      <w:r>
        <w:rPr>
          <w:rFonts w:hint="eastAsia" w:ascii="黑体" w:hAnsi="黑体" w:eastAsia="黑体" w:cs="黑体"/>
          <w:sz w:val="32"/>
          <w:szCs w:val="32"/>
        </w:rPr>
        <w:t>法定代表人（或委托代理人）：</w:t>
      </w:r>
    </w:p>
    <w:p w14:paraId="57C70216">
      <w:pPr>
        <w:spacing w:line="560" w:lineRule="exact"/>
        <w:rPr>
          <w:rFonts w:ascii="仿宋_GB2312" w:hAnsi="仿宋_GB2312" w:eastAsia="仿宋_GB2312" w:cs="仿宋_GB2312"/>
          <w:sz w:val="32"/>
          <w:szCs w:val="32"/>
        </w:rPr>
      </w:pPr>
      <w:r>
        <w:rPr>
          <w:rFonts w:hint="eastAsia" w:ascii="黑体" w:hAnsi="黑体" w:eastAsia="黑体" w:cs="黑体"/>
          <w:sz w:val="32"/>
          <w:szCs w:val="32"/>
        </w:rPr>
        <w:t>日期：</w:t>
      </w:r>
    </w:p>
    <w:p w14:paraId="697F33A8">
      <w:pPr>
        <w:spacing w:line="560" w:lineRule="exact"/>
        <w:rPr>
          <w:rFonts w:ascii="仿宋_GB2312" w:hAnsi="仿宋_GB2312" w:eastAsia="仿宋_GB2312" w:cs="仿宋_GB2312"/>
          <w:sz w:val="32"/>
          <w:szCs w:val="32"/>
        </w:rPr>
      </w:pPr>
    </w:p>
    <w:p w14:paraId="7FCB5F04">
      <w:pPr>
        <w:spacing w:line="560" w:lineRule="exact"/>
        <w:rPr>
          <w:rFonts w:ascii="仿宋_GB2312" w:hAnsi="仿宋_GB2312" w:eastAsia="仿宋_GB2312" w:cs="仿宋_GB2312"/>
          <w:sz w:val="32"/>
          <w:szCs w:val="32"/>
        </w:rPr>
      </w:pPr>
      <w:r>
        <w:rPr>
          <w:rFonts w:hint="eastAsia" w:ascii="黑体" w:hAnsi="黑体" w:eastAsia="黑体" w:cs="黑体"/>
          <w:sz w:val="32"/>
          <w:szCs w:val="32"/>
        </w:rPr>
        <w:t>乙方（盖章）：</w:t>
      </w:r>
    </w:p>
    <w:p w14:paraId="6EF980D8">
      <w:pPr>
        <w:spacing w:line="560" w:lineRule="exact"/>
        <w:rPr>
          <w:rFonts w:ascii="仿宋_GB2312" w:hAnsi="仿宋_GB2312" w:eastAsia="仿宋_GB2312" w:cs="仿宋_GB2312"/>
          <w:sz w:val="32"/>
          <w:szCs w:val="32"/>
          <w:u w:val="single"/>
        </w:rPr>
      </w:pPr>
      <w:r>
        <w:rPr>
          <w:rFonts w:hint="eastAsia" w:ascii="黑体" w:hAnsi="黑体" w:eastAsia="黑体" w:cs="黑体"/>
          <w:sz w:val="32"/>
          <w:szCs w:val="32"/>
        </w:rPr>
        <w:t>法定代表人（或委托代理人）：</w:t>
      </w:r>
    </w:p>
    <w:p w14:paraId="0C5577B0">
      <w:pPr>
        <w:spacing w:line="560" w:lineRule="exact"/>
        <w:rPr>
          <w:rFonts w:ascii="仿宋_GB2312" w:hAnsi="仿宋_GB2312" w:eastAsia="仿宋_GB2312" w:cs="仿宋_GB2312"/>
          <w:sz w:val="32"/>
          <w:szCs w:val="32"/>
        </w:rPr>
      </w:pPr>
      <w:r>
        <w:rPr>
          <w:rFonts w:hint="eastAsia" w:ascii="黑体" w:hAnsi="黑体" w:eastAsia="黑体" w:cs="黑体"/>
          <w:sz w:val="32"/>
          <w:szCs w:val="32"/>
        </w:rPr>
        <w:t>日期：</w:t>
      </w:r>
    </w:p>
    <w:p w14:paraId="7ACA3C62">
      <w:pPr>
        <w:adjustRightInd w:val="0"/>
        <w:snapToGrid w:val="0"/>
        <w:spacing w:line="460" w:lineRule="exact"/>
        <w:jc w:val="left"/>
        <w:rPr>
          <w:rFonts w:ascii="宋体" w:hAnsi="宋体" w:cs="宋体"/>
          <w:color w:val="000000"/>
          <w:kern w:val="0"/>
          <w:sz w:val="24"/>
          <w:szCs w:val="24"/>
        </w:rPr>
      </w:pPr>
    </w:p>
    <w:p w14:paraId="3BB6D0F6">
      <w:pPr>
        <w:widowControl/>
        <w:jc w:val="left"/>
      </w:pPr>
      <w:r>
        <w:br w:type="page"/>
      </w:r>
    </w:p>
    <w:p w14:paraId="0C5C76C3">
      <w:pPr>
        <w:rPr>
          <w:rFonts w:ascii="宋体" w:hAnsi="宋体" w:eastAsia="宋体" w:cs="宋体"/>
          <w:b/>
          <w:kern w:val="0"/>
          <w:sz w:val="24"/>
          <w:szCs w:val="24"/>
        </w:rPr>
      </w:pPr>
      <w:r>
        <w:rPr>
          <w:rFonts w:ascii="宋体" w:hAnsi="宋体" w:eastAsia="宋体" w:cs="宋体"/>
          <w:b/>
          <w:kern w:val="0"/>
          <w:sz w:val="24"/>
          <w:szCs w:val="24"/>
        </w:rPr>
        <w:t>附件</w:t>
      </w:r>
      <w:r>
        <w:rPr>
          <w:rFonts w:hint="eastAsia" w:ascii="宋体" w:hAnsi="宋体" w:eastAsia="宋体" w:cs="宋体"/>
          <w:b/>
          <w:kern w:val="0"/>
          <w:sz w:val="24"/>
          <w:szCs w:val="24"/>
        </w:rPr>
        <w:t>9</w:t>
      </w:r>
      <w:r>
        <w:rPr>
          <w:rFonts w:ascii="宋体" w:hAnsi="宋体" w:eastAsia="宋体" w:cs="宋体"/>
          <w:b/>
          <w:kern w:val="0"/>
          <w:sz w:val="24"/>
          <w:szCs w:val="24"/>
        </w:rPr>
        <w:t>：</w:t>
      </w:r>
    </w:p>
    <w:p w14:paraId="209A83DE">
      <w:pPr>
        <w:jc w:val="center"/>
        <w:rPr>
          <w:b/>
          <w:bCs/>
          <w:sz w:val="44"/>
          <w:szCs w:val="44"/>
        </w:rPr>
      </w:pPr>
    </w:p>
    <w:p w14:paraId="3E4FF3D6">
      <w:pPr>
        <w:jc w:val="center"/>
        <w:rPr>
          <w:b/>
          <w:bCs/>
          <w:sz w:val="44"/>
          <w:szCs w:val="44"/>
        </w:rPr>
      </w:pPr>
      <w:r>
        <w:rPr>
          <w:rFonts w:hint="eastAsia"/>
          <w:b/>
          <w:bCs/>
          <w:sz w:val="44"/>
          <w:szCs w:val="44"/>
        </w:rPr>
        <w:t>中标通知书</w:t>
      </w:r>
    </w:p>
    <w:p w14:paraId="2207DD56">
      <w:pPr>
        <w:rPr>
          <w:sz w:val="24"/>
        </w:rPr>
      </w:pPr>
    </w:p>
    <w:p w14:paraId="0FA306E5">
      <w:pPr>
        <w:ind w:firstLine="166" w:firstLineChars="50"/>
        <w:jc w:val="left"/>
        <w:rPr>
          <w:rFonts w:ascii="仿宋_GB2312" w:hAnsi="仿宋_GB2312" w:eastAsia="仿宋_GB2312" w:cs="仿宋_GB2312"/>
          <w:sz w:val="32"/>
          <w:szCs w:val="32"/>
        </w:rPr>
      </w:pPr>
      <w:r>
        <w:rPr>
          <w:rFonts w:hint="eastAsia" w:ascii="仿宋_GB2312" w:hAnsi="仿宋_GB2312" w:eastAsia="仿宋_GB2312" w:cs="仿宋_GB2312"/>
          <w:bCs/>
          <w:spacing w:val="6"/>
          <w:kern w:val="16"/>
          <w:sz w:val="32"/>
          <w:szCs w:val="32"/>
        </w:rPr>
        <w:t>XXX公司</w:t>
      </w:r>
      <w:r>
        <w:rPr>
          <w:rFonts w:hint="eastAsia" w:ascii="仿宋_GB2312" w:hAnsi="仿宋_GB2312" w:eastAsia="仿宋_GB2312" w:cs="仿宋_GB2312"/>
          <w:sz w:val="32"/>
          <w:szCs w:val="32"/>
        </w:rPr>
        <w:t>：</w:t>
      </w:r>
    </w:p>
    <w:p w14:paraId="07614B50">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感谢贵公司参与</w:t>
      </w:r>
      <w:r>
        <w:rPr>
          <w:rFonts w:hint="eastAsia" w:ascii="仿宋_GB2312" w:hAnsi="仿宋_GB2312" w:eastAsia="仿宋_GB2312" w:cs="仿宋_GB2312"/>
          <w:sz w:val="32"/>
          <w:szCs w:val="32"/>
          <w:u w:val="single"/>
        </w:rPr>
        <w:t>广柴股份本部2026年生产物资运输项</w:t>
      </w:r>
      <w:r>
        <w:rPr>
          <w:rFonts w:hint="eastAsia" w:ascii="仿宋_GB2312" w:hAnsi="仿宋_GB2312" w:eastAsia="仿宋_GB2312" w:cs="仿宋_GB2312"/>
          <w:bCs/>
          <w:spacing w:val="6"/>
          <w:kern w:val="16"/>
          <w:sz w:val="32"/>
          <w:szCs w:val="32"/>
          <w:u w:val="single"/>
        </w:rPr>
        <w:t>目</w:t>
      </w:r>
      <w:r>
        <w:rPr>
          <w:rFonts w:hint="eastAsia" w:ascii="仿宋_GB2312" w:hAnsi="仿宋_GB2312" w:eastAsia="仿宋_GB2312" w:cs="仿宋_GB2312"/>
          <w:sz w:val="32"/>
          <w:szCs w:val="32"/>
        </w:rPr>
        <w:t>的投标。经本公司评标小组综合评定和总经理工作会议审议，确定你公司为中标单位。</w:t>
      </w:r>
    </w:p>
    <w:p w14:paraId="01CA48AC">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请贵公司接到中标通知书后，尽快与我公司签订合同。</w:t>
      </w:r>
    </w:p>
    <w:p w14:paraId="1324FA0F">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特此通知</w:t>
      </w:r>
    </w:p>
    <w:p w14:paraId="26E5922A">
      <w:pPr>
        <w:ind w:firstLine="640" w:firstLineChars="200"/>
        <w:jc w:val="left"/>
        <w:rPr>
          <w:rFonts w:ascii="仿宋_GB2312" w:hAnsi="仿宋_GB2312" w:eastAsia="仿宋_GB2312" w:cs="仿宋_GB2312"/>
          <w:sz w:val="32"/>
          <w:szCs w:val="32"/>
        </w:rPr>
      </w:pPr>
    </w:p>
    <w:p w14:paraId="16EFC65D">
      <w:pPr>
        <w:ind w:firstLine="640" w:firstLineChars="200"/>
        <w:jc w:val="left"/>
        <w:rPr>
          <w:rFonts w:ascii="仿宋_GB2312" w:hAnsi="仿宋_GB2312" w:eastAsia="仿宋_GB2312" w:cs="仿宋_GB2312"/>
          <w:sz w:val="32"/>
          <w:szCs w:val="32"/>
        </w:rPr>
      </w:pPr>
    </w:p>
    <w:p w14:paraId="2FE46D90">
      <w:pPr>
        <w:ind w:left="5350" w:leftChars="1862" w:hanging="1440" w:hangingChars="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广州柴油机厂股份有限公司</w:t>
      </w:r>
    </w:p>
    <w:p w14:paraId="2EDA3833">
      <w:pPr>
        <w:ind w:left="5349" w:leftChars="2166" w:hanging="800" w:hanging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XXX年 XX 月 XX 日</w:t>
      </w:r>
    </w:p>
    <w:p w14:paraId="59EDD94D">
      <w:pPr>
        <w:widowControl/>
        <w:jc w:val="left"/>
      </w:pPr>
      <w:r>
        <w:br w:type="page"/>
      </w:r>
    </w:p>
    <w:p w14:paraId="7EE00845">
      <w:pPr>
        <w:rPr>
          <w:rFonts w:ascii="宋体" w:hAnsi="宋体" w:cs="宋体"/>
          <w:b/>
          <w:kern w:val="0"/>
          <w:sz w:val="24"/>
          <w:szCs w:val="24"/>
        </w:rPr>
      </w:pPr>
      <w:r>
        <w:rPr>
          <w:rFonts w:hint="eastAsia" w:ascii="宋体" w:hAnsi="宋体" w:cs="宋体"/>
          <w:b/>
          <w:kern w:val="0"/>
          <w:sz w:val="24"/>
          <w:szCs w:val="24"/>
        </w:rPr>
        <w:t>附件10：</w:t>
      </w:r>
    </w:p>
    <w:p w14:paraId="427FE000">
      <w:pPr>
        <w:rPr>
          <w:rFonts w:ascii="宋体" w:hAnsi="宋体" w:cs="宋体"/>
          <w:b/>
          <w:kern w:val="0"/>
          <w:sz w:val="24"/>
          <w:szCs w:val="24"/>
        </w:rPr>
      </w:pPr>
    </w:p>
    <w:p w14:paraId="3294AAD7">
      <w:pPr>
        <w:spacing w:line="360" w:lineRule="auto"/>
        <w:ind w:right="480"/>
        <w:jc w:val="center"/>
        <w:rPr>
          <w:rFonts w:hAnsi="宋体"/>
          <w:b/>
          <w:sz w:val="36"/>
          <w:szCs w:val="36"/>
        </w:rPr>
      </w:pPr>
      <w:r>
        <w:rPr>
          <w:rFonts w:hint="eastAsia" w:hAnsi="宋体"/>
          <w:b/>
          <w:sz w:val="36"/>
          <w:szCs w:val="36"/>
        </w:rPr>
        <w:t>广柴股份本部2026年生产物资运输合同（范本）</w:t>
      </w:r>
    </w:p>
    <w:p w14:paraId="665A28D9">
      <w:pPr>
        <w:spacing w:line="360" w:lineRule="auto"/>
        <w:ind w:right="480"/>
        <w:jc w:val="right"/>
        <w:rPr>
          <w:rFonts w:ascii="宋体" w:hAnsi="宋体" w:cs="宋体"/>
          <w:color w:val="000000"/>
          <w:kern w:val="0"/>
          <w:sz w:val="24"/>
          <w:szCs w:val="24"/>
        </w:rPr>
      </w:pPr>
      <w:r>
        <w:rPr>
          <w:rFonts w:hint="eastAsia" w:ascii="宋体" w:hAnsi="宋体" w:cs="宋体"/>
          <w:color w:val="000000"/>
          <w:kern w:val="0"/>
          <w:sz w:val="24"/>
          <w:szCs w:val="24"/>
        </w:rPr>
        <w:t>GCGF-YY-CG-2026-0010</w:t>
      </w:r>
    </w:p>
    <w:p w14:paraId="0E3E68D1">
      <w:pPr>
        <w:spacing w:line="360" w:lineRule="auto"/>
        <w:ind w:right="480"/>
        <w:jc w:val="right"/>
        <w:rPr>
          <w:rFonts w:ascii="宋体" w:hAnsi="宋体" w:cs="宋体"/>
          <w:color w:val="000000"/>
          <w:kern w:val="0"/>
          <w:sz w:val="24"/>
          <w:szCs w:val="24"/>
        </w:rPr>
      </w:pPr>
    </w:p>
    <w:p w14:paraId="04ABB8B4">
      <w:pPr>
        <w:spacing w:line="360" w:lineRule="auto"/>
        <w:rPr>
          <w:b/>
          <w:sz w:val="24"/>
        </w:rPr>
      </w:pPr>
      <w:r>
        <w:rPr>
          <w:rFonts w:hint="eastAsia"/>
          <w:b/>
          <w:sz w:val="24"/>
        </w:rPr>
        <w:t>委托方：</w:t>
      </w:r>
      <w:r>
        <w:rPr>
          <w:rFonts w:hint="eastAsia"/>
          <w:b/>
          <w:color w:val="000000" w:themeColor="text1"/>
          <w:sz w:val="24"/>
        </w:rPr>
        <w:t>广州柴油机厂股份有限公司（以下简称</w:t>
      </w:r>
      <w:r>
        <w:rPr>
          <w:rFonts w:hint="eastAsia"/>
          <w:b/>
          <w:sz w:val="24"/>
        </w:rPr>
        <w:t>甲方）</w:t>
      </w:r>
    </w:p>
    <w:p w14:paraId="078D4329">
      <w:pPr>
        <w:spacing w:line="360" w:lineRule="auto"/>
        <w:rPr>
          <w:b/>
          <w:sz w:val="24"/>
        </w:rPr>
      </w:pPr>
      <w:r>
        <w:rPr>
          <w:rFonts w:hint="eastAsia"/>
          <w:b/>
          <w:sz w:val="24"/>
        </w:rPr>
        <w:t>承运方：（以下简称乙方）</w:t>
      </w:r>
    </w:p>
    <w:p w14:paraId="1ABB4D4B">
      <w:pPr>
        <w:spacing w:line="360" w:lineRule="auto"/>
        <w:rPr>
          <w:sz w:val="24"/>
        </w:rPr>
      </w:pPr>
    </w:p>
    <w:p w14:paraId="64E0EFC5">
      <w:pPr>
        <w:spacing w:line="360" w:lineRule="auto"/>
        <w:ind w:firstLine="480" w:firstLineChars="200"/>
        <w:rPr>
          <w:sz w:val="24"/>
        </w:rPr>
      </w:pPr>
      <w:r>
        <w:rPr>
          <w:rFonts w:hint="eastAsia"/>
          <w:sz w:val="24"/>
        </w:rPr>
        <w:t>鉴于甲方和乙方为依法设立且合法注册的公司，双方本着公平、平等、等价有偿和诚信原则，依据《中华人民共和国合同法》等相关法律法规的规定，就甲方委托乙方承运货物事宜签订本合同，以资共同信守：</w:t>
      </w:r>
    </w:p>
    <w:p w14:paraId="776A56E3">
      <w:pPr>
        <w:spacing w:line="360" w:lineRule="auto"/>
        <w:rPr>
          <w:sz w:val="24"/>
        </w:rPr>
      </w:pPr>
    </w:p>
    <w:p w14:paraId="6EFA7338">
      <w:pPr>
        <w:spacing w:line="360" w:lineRule="auto"/>
        <w:rPr>
          <w:b/>
          <w:bCs/>
          <w:sz w:val="24"/>
        </w:rPr>
      </w:pPr>
      <w:r>
        <w:rPr>
          <w:rFonts w:hint="eastAsia"/>
          <w:b/>
          <w:bCs/>
          <w:sz w:val="24"/>
        </w:rPr>
        <w:t>第一条、委托运输事项及运输费用</w:t>
      </w:r>
    </w:p>
    <w:p w14:paraId="040FD0EE">
      <w:pPr>
        <w:spacing w:line="360" w:lineRule="auto"/>
        <w:ind w:firstLine="480" w:firstLineChars="200"/>
        <w:rPr>
          <w:sz w:val="24"/>
        </w:rPr>
      </w:pPr>
      <w:r>
        <w:rPr>
          <w:rFonts w:hint="eastAsia"/>
          <w:sz w:val="24"/>
        </w:rPr>
        <w:t>1.1 甲乙双方建立战略合作伙伴关系，甲方委托乙方运输货物，运输方式为汽车公路运输，广柴股份本部2026年生产物资运输合同包含“</w:t>
      </w:r>
      <w:r>
        <w:rPr>
          <w:rFonts w:hint="eastAsia" w:cs="Times New Roman"/>
          <w:b/>
          <w:bCs/>
          <w:sz w:val="24"/>
          <w:szCs w:val="24"/>
        </w:rPr>
        <w:t>中速机整机转运”、“</w:t>
      </w:r>
      <w:r>
        <w:rPr>
          <w:rFonts w:hint="eastAsia" w:ascii="宋体" w:hAnsi="宋体" w:eastAsia="宋体" w:cs="宋体"/>
          <w:b/>
          <w:bCs/>
          <w:color w:val="000000"/>
          <w:kern w:val="0"/>
          <w:sz w:val="24"/>
          <w:szCs w:val="24"/>
        </w:rPr>
        <w:t>生产类零/部件运输”</w:t>
      </w:r>
      <w:r>
        <w:rPr>
          <w:rFonts w:hint="eastAsia"/>
          <w:sz w:val="24"/>
        </w:rPr>
        <w:t>，其运输费用按以下价格执行：</w:t>
      </w:r>
    </w:p>
    <w:p w14:paraId="3071823A">
      <w:pPr>
        <w:spacing w:line="360" w:lineRule="auto"/>
        <w:ind w:firstLine="482" w:firstLineChars="200"/>
        <w:rPr>
          <w:rFonts w:eastAsia="宋体" w:cs="Times New Roman"/>
          <w:b/>
          <w:bCs/>
          <w:sz w:val="24"/>
          <w:szCs w:val="24"/>
        </w:rPr>
      </w:pPr>
      <w:r>
        <w:rPr>
          <w:rFonts w:hint="eastAsia" w:cs="Times New Roman"/>
          <w:b/>
          <w:bCs/>
          <w:sz w:val="24"/>
          <w:szCs w:val="24"/>
        </w:rPr>
        <w:t>1.1.1 中速机整机转运价格表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403"/>
        <w:gridCol w:w="920"/>
        <w:gridCol w:w="985"/>
        <w:gridCol w:w="995"/>
        <w:gridCol w:w="1050"/>
        <w:gridCol w:w="920"/>
        <w:gridCol w:w="919"/>
      </w:tblGrid>
      <w:tr w14:paraId="19D7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80" w:type="pct"/>
            <w:vMerge w:val="restart"/>
            <w:tcBorders>
              <w:right w:val="single" w:color="auto" w:sz="4" w:space="0"/>
            </w:tcBorders>
            <w:noWrap/>
            <w:vAlign w:val="center"/>
          </w:tcPr>
          <w:p w14:paraId="3CD3310D">
            <w:pPr>
              <w:spacing w:line="360" w:lineRule="auto"/>
              <w:jc w:val="distribute"/>
              <w:rPr>
                <w:rFonts w:ascii="宋体" w:hAnsi="宋体" w:cs="宋体"/>
                <w:b/>
                <w:bCs/>
                <w:color w:val="000000"/>
                <w:kern w:val="0"/>
                <w:szCs w:val="21"/>
              </w:rPr>
            </w:pPr>
            <w:r>
              <w:rPr>
                <w:rFonts w:hint="eastAsia" w:ascii="宋体" w:hAnsi="宋体" w:cs="宋体"/>
                <w:b/>
                <w:bCs/>
                <w:color w:val="000000"/>
                <w:kern w:val="0"/>
                <w:szCs w:val="21"/>
              </w:rPr>
              <w:t>运输起讫点</w:t>
            </w:r>
          </w:p>
        </w:tc>
        <w:tc>
          <w:tcPr>
            <w:tcW w:w="823" w:type="pct"/>
            <w:tcBorders>
              <w:bottom w:val="single" w:color="auto" w:sz="4" w:space="0"/>
              <w:right w:val="single" w:color="auto" w:sz="4" w:space="0"/>
            </w:tcBorders>
            <w:noWrap/>
            <w:vAlign w:val="center"/>
          </w:tcPr>
          <w:p w14:paraId="0710FB57">
            <w:pPr>
              <w:spacing w:line="360" w:lineRule="auto"/>
              <w:jc w:val="distribute"/>
              <w:rPr>
                <w:rFonts w:ascii="宋体" w:hAnsi="宋体" w:cs="宋体"/>
                <w:b/>
                <w:bCs/>
                <w:color w:val="000000"/>
                <w:kern w:val="0"/>
                <w:szCs w:val="21"/>
              </w:rPr>
            </w:pPr>
            <w:r>
              <w:rPr>
                <w:rFonts w:hint="eastAsia" w:ascii="宋体" w:hAnsi="宋体" w:cs="宋体"/>
                <w:b/>
                <w:bCs/>
                <w:color w:val="000000"/>
                <w:kern w:val="0"/>
                <w:szCs w:val="21"/>
              </w:rPr>
              <w:t>机型</w:t>
            </w:r>
          </w:p>
        </w:tc>
        <w:tc>
          <w:tcPr>
            <w:tcW w:w="540" w:type="pct"/>
            <w:tcBorders>
              <w:left w:val="single" w:color="auto" w:sz="4" w:space="0"/>
              <w:bottom w:val="single" w:color="auto" w:sz="4" w:space="0"/>
              <w:right w:val="single" w:color="auto" w:sz="4" w:space="0"/>
            </w:tcBorders>
            <w:noWrap/>
            <w:vAlign w:val="center"/>
          </w:tcPr>
          <w:p w14:paraId="2AA78568">
            <w:pPr>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6230</w:t>
            </w:r>
          </w:p>
        </w:tc>
        <w:tc>
          <w:tcPr>
            <w:tcW w:w="578" w:type="pct"/>
            <w:tcBorders>
              <w:left w:val="single" w:color="auto" w:sz="4" w:space="0"/>
              <w:bottom w:val="single" w:color="auto" w:sz="4" w:space="0"/>
              <w:right w:val="single" w:color="auto" w:sz="4" w:space="0"/>
            </w:tcBorders>
            <w:noWrap/>
            <w:vAlign w:val="center"/>
          </w:tcPr>
          <w:p w14:paraId="31C956D3">
            <w:pPr>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8230</w:t>
            </w:r>
          </w:p>
        </w:tc>
        <w:tc>
          <w:tcPr>
            <w:tcW w:w="584" w:type="pct"/>
            <w:tcBorders>
              <w:left w:val="single" w:color="auto" w:sz="4" w:space="0"/>
              <w:bottom w:val="single" w:color="auto" w:sz="4" w:space="0"/>
              <w:right w:val="single" w:color="auto" w:sz="4" w:space="0"/>
            </w:tcBorders>
            <w:noWrap/>
            <w:vAlign w:val="center"/>
          </w:tcPr>
          <w:p w14:paraId="2AB11829">
            <w:pPr>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6320</w:t>
            </w:r>
          </w:p>
        </w:tc>
        <w:tc>
          <w:tcPr>
            <w:tcW w:w="616" w:type="pct"/>
            <w:tcBorders>
              <w:left w:val="single" w:color="auto" w:sz="4" w:space="0"/>
              <w:bottom w:val="single" w:color="auto" w:sz="4" w:space="0"/>
              <w:right w:val="single" w:color="auto" w:sz="4" w:space="0"/>
            </w:tcBorders>
            <w:noWrap/>
            <w:vAlign w:val="center"/>
          </w:tcPr>
          <w:p w14:paraId="04334FAC">
            <w:pPr>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8320</w:t>
            </w:r>
          </w:p>
        </w:tc>
        <w:tc>
          <w:tcPr>
            <w:tcW w:w="540" w:type="pct"/>
            <w:tcBorders>
              <w:left w:val="single" w:color="auto" w:sz="4" w:space="0"/>
              <w:bottom w:val="single" w:color="auto" w:sz="4" w:space="0"/>
              <w:right w:val="single" w:color="auto" w:sz="4" w:space="0"/>
            </w:tcBorders>
            <w:noWrap/>
            <w:vAlign w:val="center"/>
          </w:tcPr>
          <w:p w14:paraId="1A838282">
            <w:pPr>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6G26</w:t>
            </w:r>
          </w:p>
        </w:tc>
        <w:tc>
          <w:tcPr>
            <w:tcW w:w="535" w:type="pct"/>
            <w:tcBorders>
              <w:left w:val="single" w:color="auto" w:sz="4" w:space="0"/>
              <w:bottom w:val="single" w:color="auto" w:sz="4" w:space="0"/>
            </w:tcBorders>
            <w:noWrap/>
            <w:vAlign w:val="center"/>
          </w:tcPr>
          <w:p w14:paraId="1A0FCB38">
            <w:pPr>
              <w:spacing w:line="360" w:lineRule="auto"/>
              <w:jc w:val="center"/>
              <w:rPr>
                <w:rFonts w:ascii="宋体" w:hAnsi="宋体" w:cs="宋体"/>
                <w:b/>
                <w:bCs/>
                <w:color w:val="000000"/>
                <w:kern w:val="0"/>
                <w:szCs w:val="21"/>
              </w:rPr>
            </w:pPr>
            <w:r>
              <w:rPr>
                <w:rFonts w:hint="eastAsia" w:ascii="宋体" w:hAnsi="宋体" w:cs="宋体"/>
                <w:b/>
                <w:bCs/>
                <w:color w:val="000000"/>
                <w:kern w:val="0"/>
                <w:szCs w:val="21"/>
              </w:rPr>
              <w:t>8G26</w:t>
            </w:r>
          </w:p>
        </w:tc>
      </w:tr>
      <w:tr w14:paraId="65B0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80" w:type="pct"/>
            <w:vMerge w:val="continue"/>
            <w:tcBorders>
              <w:right w:val="single" w:color="auto" w:sz="4" w:space="0"/>
            </w:tcBorders>
            <w:noWrap/>
            <w:vAlign w:val="center"/>
          </w:tcPr>
          <w:p w14:paraId="4CFCD3A3">
            <w:pPr>
              <w:jc w:val="center"/>
              <w:rPr>
                <w:rFonts w:ascii="宋体" w:hAnsi="宋体" w:cs="宋体"/>
                <w:b/>
                <w:bCs/>
                <w:color w:val="000000"/>
                <w:kern w:val="0"/>
                <w:szCs w:val="21"/>
              </w:rPr>
            </w:pPr>
          </w:p>
        </w:tc>
        <w:tc>
          <w:tcPr>
            <w:tcW w:w="823" w:type="pct"/>
            <w:tcBorders>
              <w:top w:val="single" w:color="auto" w:sz="4" w:space="0"/>
              <w:bottom w:val="single" w:color="auto" w:sz="4" w:space="0"/>
              <w:right w:val="single" w:color="auto" w:sz="4" w:space="0"/>
            </w:tcBorders>
            <w:noWrap/>
            <w:vAlign w:val="center"/>
          </w:tcPr>
          <w:p w14:paraId="63A68C49">
            <w:pPr>
              <w:jc w:val="center"/>
              <w:rPr>
                <w:rFonts w:ascii="宋体" w:hAnsi="宋体" w:cs="宋体"/>
                <w:b/>
                <w:bCs/>
                <w:color w:val="000000"/>
                <w:kern w:val="0"/>
                <w:szCs w:val="21"/>
              </w:rPr>
            </w:pPr>
            <w:r>
              <w:rPr>
                <w:rFonts w:hint="eastAsia" w:ascii="宋体" w:hAnsi="宋体" w:cs="宋体"/>
                <w:b/>
                <w:bCs/>
                <w:color w:val="000000"/>
                <w:kern w:val="0"/>
                <w:szCs w:val="21"/>
              </w:rPr>
              <w:t>标准保险价值</w:t>
            </w:r>
          </w:p>
          <w:p w14:paraId="768A6D76">
            <w:pPr>
              <w:jc w:val="center"/>
              <w:rPr>
                <w:rFonts w:ascii="宋体" w:hAnsi="宋体" w:cs="宋体"/>
                <w:b/>
                <w:bCs/>
                <w:color w:val="000000"/>
                <w:kern w:val="0"/>
                <w:szCs w:val="21"/>
              </w:rPr>
            </w:pPr>
            <w:r>
              <w:rPr>
                <w:rFonts w:hint="eastAsia" w:ascii="宋体" w:hAnsi="宋体" w:cs="宋体"/>
                <w:b/>
                <w:bCs/>
                <w:color w:val="000000"/>
                <w:kern w:val="0"/>
                <w:szCs w:val="21"/>
              </w:rPr>
              <w:t>（万元/台套）</w:t>
            </w:r>
          </w:p>
        </w:tc>
        <w:tc>
          <w:tcPr>
            <w:tcW w:w="540" w:type="pct"/>
            <w:tcBorders>
              <w:top w:val="single" w:color="auto" w:sz="4" w:space="0"/>
              <w:left w:val="single" w:color="auto" w:sz="4" w:space="0"/>
              <w:bottom w:val="single" w:color="auto" w:sz="4" w:space="0"/>
              <w:right w:val="single" w:color="auto" w:sz="4" w:space="0"/>
            </w:tcBorders>
            <w:noWrap/>
            <w:vAlign w:val="center"/>
          </w:tcPr>
          <w:p w14:paraId="335BF40E">
            <w:pPr>
              <w:spacing w:line="360" w:lineRule="auto"/>
              <w:jc w:val="center"/>
              <w:rPr>
                <w:rFonts w:ascii="宋体" w:hAnsi="宋体" w:cs="宋体"/>
                <w:color w:val="000000"/>
                <w:kern w:val="0"/>
                <w:szCs w:val="21"/>
              </w:rPr>
            </w:pPr>
            <w:r>
              <w:rPr>
                <w:rFonts w:hint="eastAsia" w:ascii="宋体" w:hAnsi="宋体" w:cs="宋体"/>
                <w:color w:val="000000"/>
                <w:kern w:val="0"/>
                <w:szCs w:val="21"/>
              </w:rPr>
              <w:t>100</w:t>
            </w:r>
          </w:p>
        </w:tc>
        <w:tc>
          <w:tcPr>
            <w:tcW w:w="578" w:type="pct"/>
            <w:tcBorders>
              <w:top w:val="single" w:color="auto" w:sz="4" w:space="0"/>
              <w:left w:val="single" w:color="auto" w:sz="4" w:space="0"/>
              <w:bottom w:val="single" w:color="auto" w:sz="4" w:space="0"/>
              <w:right w:val="single" w:color="auto" w:sz="4" w:space="0"/>
            </w:tcBorders>
            <w:noWrap/>
            <w:vAlign w:val="center"/>
          </w:tcPr>
          <w:p w14:paraId="6A3AF419">
            <w:pPr>
              <w:spacing w:line="360" w:lineRule="auto"/>
              <w:jc w:val="center"/>
              <w:rPr>
                <w:rFonts w:ascii="宋体" w:hAnsi="宋体" w:cs="宋体"/>
                <w:color w:val="000000"/>
                <w:kern w:val="0"/>
                <w:szCs w:val="21"/>
              </w:rPr>
            </w:pPr>
            <w:r>
              <w:rPr>
                <w:rFonts w:hint="eastAsia" w:ascii="宋体" w:hAnsi="宋体" w:cs="宋体"/>
                <w:color w:val="000000"/>
                <w:kern w:val="0"/>
                <w:szCs w:val="21"/>
              </w:rPr>
              <w:t>120</w:t>
            </w:r>
          </w:p>
        </w:tc>
        <w:tc>
          <w:tcPr>
            <w:tcW w:w="584" w:type="pct"/>
            <w:tcBorders>
              <w:top w:val="single" w:color="auto" w:sz="4" w:space="0"/>
              <w:left w:val="single" w:color="auto" w:sz="4" w:space="0"/>
              <w:bottom w:val="single" w:color="auto" w:sz="4" w:space="0"/>
              <w:right w:val="single" w:color="auto" w:sz="4" w:space="0"/>
            </w:tcBorders>
            <w:noWrap/>
            <w:vAlign w:val="center"/>
          </w:tcPr>
          <w:p w14:paraId="71AE2657">
            <w:pPr>
              <w:spacing w:line="360" w:lineRule="auto"/>
              <w:jc w:val="center"/>
              <w:rPr>
                <w:rFonts w:ascii="宋体" w:hAnsi="宋体" w:cs="宋体"/>
                <w:color w:val="000000"/>
                <w:kern w:val="0"/>
                <w:szCs w:val="21"/>
              </w:rPr>
            </w:pPr>
            <w:r>
              <w:rPr>
                <w:rFonts w:hint="eastAsia" w:ascii="宋体" w:hAnsi="宋体" w:cs="宋体"/>
                <w:color w:val="000000"/>
                <w:kern w:val="0"/>
                <w:szCs w:val="21"/>
              </w:rPr>
              <w:t>120</w:t>
            </w:r>
          </w:p>
        </w:tc>
        <w:tc>
          <w:tcPr>
            <w:tcW w:w="616" w:type="pct"/>
            <w:tcBorders>
              <w:top w:val="single" w:color="auto" w:sz="4" w:space="0"/>
              <w:left w:val="single" w:color="auto" w:sz="4" w:space="0"/>
              <w:bottom w:val="single" w:color="auto" w:sz="4" w:space="0"/>
              <w:right w:val="single" w:color="auto" w:sz="4" w:space="0"/>
            </w:tcBorders>
            <w:noWrap/>
            <w:vAlign w:val="center"/>
          </w:tcPr>
          <w:p w14:paraId="3A26275C">
            <w:pPr>
              <w:spacing w:line="360" w:lineRule="auto"/>
              <w:jc w:val="center"/>
              <w:rPr>
                <w:rFonts w:ascii="宋体" w:hAnsi="宋体" w:cs="宋体"/>
                <w:color w:val="000000"/>
                <w:kern w:val="0"/>
                <w:szCs w:val="21"/>
              </w:rPr>
            </w:pPr>
            <w:r>
              <w:rPr>
                <w:rFonts w:hint="eastAsia" w:ascii="宋体" w:hAnsi="宋体" w:cs="宋体"/>
                <w:color w:val="000000"/>
                <w:kern w:val="0"/>
                <w:szCs w:val="21"/>
              </w:rPr>
              <w:t>200</w:t>
            </w:r>
          </w:p>
        </w:tc>
        <w:tc>
          <w:tcPr>
            <w:tcW w:w="540" w:type="pct"/>
            <w:tcBorders>
              <w:top w:val="single" w:color="auto" w:sz="4" w:space="0"/>
              <w:left w:val="single" w:color="auto" w:sz="4" w:space="0"/>
              <w:bottom w:val="single" w:color="auto" w:sz="4" w:space="0"/>
              <w:right w:val="single" w:color="auto" w:sz="4" w:space="0"/>
            </w:tcBorders>
            <w:noWrap/>
            <w:vAlign w:val="center"/>
          </w:tcPr>
          <w:p w14:paraId="12B54E7D">
            <w:pPr>
              <w:spacing w:line="360" w:lineRule="auto"/>
              <w:jc w:val="center"/>
              <w:rPr>
                <w:rFonts w:ascii="宋体" w:hAnsi="宋体" w:cs="宋体"/>
                <w:color w:val="000000"/>
                <w:kern w:val="0"/>
                <w:szCs w:val="21"/>
              </w:rPr>
            </w:pPr>
            <w:r>
              <w:rPr>
                <w:rFonts w:hint="eastAsia" w:ascii="宋体" w:hAnsi="宋体" w:cs="宋体"/>
                <w:color w:val="000000"/>
                <w:kern w:val="0"/>
                <w:szCs w:val="21"/>
              </w:rPr>
              <w:t>200</w:t>
            </w:r>
          </w:p>
        </w:tc>
        <w:tc>
          <w:tcPr>
            <w:tcW w:w="535" w:type="pct"/>
            <w:tcBorders>
              <w:top w:val="single" w:color="auto" w:sz="4" w:space="0"/>
              <w:left w:val="single" w:color="auto" w:sz="4" w:space="0"/>
              <w:bottom w:val="single" w:color="auto" w:sz="4" w:space="0"/>
            </w:tcBorders>
            <w:noWrap/>
            <w:vAlign w:val="center"/>
          </w:tcPr>
          <w:p w14:paraId="17A4D1DA">
            <w:pPr>
              <w:spacing w:line="360" w:lineRule="auto"/>
              <w:jc w:val="center"/>
              <w:rPr>
                <w:rFonts w:ascii="宋体" w:hAnsi="宋体" w:cs="宋体"/>
                <w:color w:val="000000"/>
                <w:kern w:val="0"/>
                <w:szCs w:val="21"/>
              </w:rPr>
            </w:pPr>
            <w:r>
              <w:rPr>
                <w:rFonts w:hint="eastAsia" w:ascii="宋体" w:hAnsi="宋体" w:cs="宋体"/>
                <w:color w:val="000000"/>
                <w:kern w:val="0"/>
                <w:szCs w:val="21"/>
              </w:rPr>
              <w:t>300</w:t>
            </w:r>
          </w:p>
        </w:tc>
      </w:tr>
      <w:tr w14:paraId="49CC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0" w:type="pct"/>
            <w:vMerge w:val="continue"/>
            <w:tcBorders>
              <w:right w:val="single" w:color="auto" w:sz="4" w:space="0"/>
            </w:tcBorders>
            <w:noWrap/>
            <w:vAlign w:val="center"/>
          </w:tcPr>
          <w:p w14:paraId="5DE54E40">
            <w:pPr>
              <w:jc w:val="center"/>
              <w:rPr>
                <w:rFonts w:ascii="宋体" w:hAnsi="宋体" w:cs="宋体"/>
                <w:b/>
                <w:bCs/>
                <w:color w:val="000000"/>
                <w:kern w:val="0"/>
                <w:szCs w:val="21"/>
              </w:rPr>
            </w:pPr>
          </w:p>
        </w:tc>
        <w:tc>
          <w:tcPr>
            <w:tcW w:w="823" w:type="pct"/>
            <w:tcBorders>
              <w:top w:val="single" w:color="auto" w:sz="4" w:space="0"/>
              <w:bottom w:val="single" w:color="auto" w:sz="4" w:space="0"/>
              <w:right w:val="single" w:color="auto" w:sz="4" w:space="0"/>
            </w:tcBorders>
            <w:noWrap/>
            <w:vAlign w:val="center"/>
          </w:tcPr>
          <w:p w14:paraId="24DCB9D4">
            <w:pPr>
              <w:jc w:val="center"/>
              <w:rPr>
                <w:rFonts w:ascii="宋体" w:hAnsi="宋体" w:cs="宋体"/>
                <w:b/>
                <w:bCs/>
                <w:color w:val="000000"/>
                <w:kern w:val="0"/>
                <w:szCs w:val="21"/>
              </w:rPr>
            </w:pPr>
            <w:r>
              <w:rPr>
                <w:rFonts w:hint="eastAsia" w:ascii="宋体" w:hAnsi="宋体" w:cs="宋体"/>
                <w:b/>
                <w:bCs/>
                <w:color w:val="000000"/>
                <w:kern w:val="0"/>
                <w:szCs w:val="21"/>
              </w:rPr>
              <w:t>柴油机组参考重量（吨）</w:t>
            </w:r>
          </w:p>
        </w:tc>
        <w:tc>
          <w:tcPr>
            <w:tcW w:w="540" w:type="pct"/>
            <w:tcBorders>
              <w:top w:val="single" w:color="auto" w:sz="4" w:space="0"/>
              <w:left w:val="single" w:color="auto" w:sz="4" w:space="0"/>
              <w:bottom w:val="single" w:color="auto" w:sz="4" w:space="0"/>
              <w:right w:val="single" w:color="auto" w:sz="4" w:space="0"/>
            </w:tcBorders>
            <w:noWrap/>
            <w:vAlign w:val="center"/>
          </w:tcPr>
          <w:p w14:paraId="26334019">
            <w:pPr>
              <w:spacing w:line="360" w:lineRule="auto"/>
              <w:jc w:val="center"/>
              <w:rPr>
                <w:rFonts w:ascii="宋体" w:hAnsi="宋体" w:cs="宋体"/>
                <w:color w:val="000000"/>
                <w:kern w:val="0"/>
                <w:szCs w:val="21"/>
              </w:rPr>
            </w:pPr>
            <w:r>
              <w:rPr>
                <w:rFonts w:hint="eastAsia" w:ascii="宋体" w:hAnsi="宋体" w:cs="宋体"/>
                <w:color w:val="000000"/>
                <w:kern w:val="0"/>
                <w:szCs w:val="21"/>
              </w:rPr>
              <w:t>11.7</w:t>
            </w:r>
          </w:p>
        </w:tc>
        <w:tc>
          <w:tcPr>
            <w:tcW w:w="578" w:type="pct"/>
            <w:tcBorders>
              <w:top w:val="single" w:color="auto" w:sz="4" w:space="0"/>
              <w:left w:val="single" w:color="auto" w:sz="4" w:space="0"/>
              <w:bottom w:val="single" w:color="auto" w:sz="4" w:space="0"/>
              <w:right w:val="single" w:color="auto" w:sz="4" w:space="0"/>
            </w:tcBorders>
            <w:noWrap/>
            <w:vAlign w:val="center"/>
          </w:tcPr>
          <w:p w14:paraId="1EC8782C">
            <w:pPr>
              <w:spacing w:line="360" w:lineRule="auto"/>
              <w:jc w:val="center"/>
              <w:rPr>
                <w:rFonts w:ascii="宋体" w:hAnsi="宋体" w:cs="宋体"/>
                <w:color w:val="000000"/>
                <w:kern w:val="0"/>
                <w:szCs w:val="21"/>
              </w:rPr>
            </w:pPr>
            <w:r>
              <w:rPr>
                <w:rFonts w:hint="eastAsia" w:ascii="宋体" w:hAnsi="宋体" w:cs="宋体"/>
                <w:color w:val="000000"/>
                <w:kern w:val="0"/>
                <w:szCs w:val="21"/>
              </w:rPr>
              <w:t>14.5</w:t>
            </w:r>
          </w:p>
        </w:tc>
        <w:tc>
          <w:tcPr>
            <w:tcW w:w="584" w:type="pct"/>
            <w:tcBorders>
              <w:top w:val="single" w:color="auto" w:sz="4" w:space="0"/>
              <w:left w:val="single" w:color="auto" w:sz="4" w:space="0"/>
              <w:bottom w:val="single" w:color="auto" w:sz="4" w:space="0"/>
              <w:right w:val="single" w:color="auto" w:sz="4" w:space="0"/>
            </w:tcBorders>
            <w:noWrap/>
            <w:vAlign w:val="center"/>
          </w:tcPr>
          <w:p w14:paraId="76E583EB">
            <w:pPr>
              <w:spacing w:line="360" w:lineRule="auto"/>
              <w:jc w:val="center"/>
              <w:rPr>
                <w:rFonts w:ascii="宋体" w:hAnsi="宋体" w:cs="宋体"/>
                <w:color w:val="000000"/>
                <w:kern w:val="0"/>
                <w:szCs w:val="21"/>
              </w:rPr>
            </w:pPr>
            <w:r>
              <w:rPr>
                <w:rFonts w:hint="eastAsia" w:ascii="宋体" w:hAnsi="宋体" w:cs="宋体"/>
                <w:color w:val="000000"/>
                <w:kern w:val="0"/>
                <w:szCs w:val="21"/>
              </w:rPr>
              <w:t>23</w:t>
            </w:r>
          </w:p>
        </w:tc>
        <w:tc>
          <w:tcPr>
            <w:tcW w:w="616" w:type="pct"/>
            <w:tcBorders>
              <w:top w:val="single" w:color="auto" w:sz="4" w:space="0"/>
              <w:left w:val="single" w:color="auto" w:sz="4" w:space="0"/>
              <w:bottom w:val="single" w:color="auto" w:sz="4" w:space="0"/>
              <w:right w:val="single" w:color="auto" w:sz="4" w:space="0"/>
            </w:tcBorders>
            <w:noWrap/>
            <w:vAlign w:val="center"/>
          </w:tcPr>
          <w:p w14:paraId="65370661">
            <w:pPr>
              <w:spacing w:line="360" w:lineRule="auto"/>
              <w:jc w:val="center"/>
              <w:rPr>
                <w:rFonts w:ascii="宋体" w:hAnsi="宋体" w:cs="宋体"/>
                <w:color w:val="000000"/>
                <w:kern w:val="0"/>
                <w:szCs w:val="21"/>
              </w:rPr>
            </w:pPr>
            <w:r>
              <w:rPr>
                <w:rFonts w:hint="eastAsia" w:ascii="宋体" w:hAnsi="宋体" w:cs="宋体"/>
                <w:color w:val="000000"/>
                <w:kern w:val="0"/>
                <w:szCs w:val="21"/>
              </w:rPr>
              <w:t>30</w:t>
            </w:r>
          </w:p>
        </w:tc>
        <w:tc>
          <w:tcPr>
            <w:tcW w:w="540" w:type="pct"/>
            <w:tcBorders>
              <w:top w:val="single" w:color="auto" w:sz="4" w:space="0"/>
              <w:left w:val="single" w:color="auto" w:sz="4" w:space="0"/>
              <w:bottom w:val="single" w:color="auto" w:sz="4" w:space="0"/>
              <w:right w:val="single" w:color="auto" w:sz="4" w:space="0"/>
            </w:tcBorders>
            <w:noWrap/>
            <w:vAlign w:val="center"/>
          </w:tcPr>
          <w:p w14:paraId="6987EF2A">
            <w:pPr>
              <w:spacing w:line="360" w:lineRule="auto"/>
              <w:jc w:val="center"/>
              <w:rPr>
                <w:rFonts w:ascii="宋体" w:hAnsi="宋体" w:cs="宋体"/>
                <w:color w:val="000000"/>
                <w:kern w:val="0"/>
                <w:szCs w:val="21"/>
              </w:rPr>
            </w:pPr>
            <w:r>
              <w:rPr>
                <w:rFonts w:hint="eastAsia" w:ascii="宋体" w:hAnsi="宋体" w:cs="宋体"/>
                <w:color w:val="000000"/>
                <w:kern w:val="0"/>
                <w:szCs w:val="21"/>
              </w:rPr>
              <w:t>26</w:t>
            </w:r>
          </w:p>
        </w:tc>
        <w:tc>
          <w:tcPr>
            <w:tcW w:w="535" w:type="pct"/>
            <w:tcBorders>
              <w:top w:val="single" w:color="auto" w:sz="4" w:space="0"/>
              <w:left w:val="single" w:color="auto" w:sz="4" w:space="0"/>
              <w:bottom w:val="single" w:color="auto" w:sz="4" w:space="0"/>
            </w:tcBorders>
            <w:noWrap/>
            <w:vAlign w:val="center"/>
          </w:tcPr>
          <w:p w14:paraId="48539EF0">
            <w:pPr>
              <w:spacing w:line="360" w:lineRule="auto"/>
              <w:jc w:val="center"/>
              <w:rPr>
                <w:rFonts w:ascii="宋体" w:hAnsi="宋体" w:cs="宋体"/>
                <w:color w:val="000000"/>
                <w:kern w:val="0"/>
                <w:szCs w:val="21"/>
              </w:rPr>
            </w:pPr>
            <w:r>
              <w:rPr>
                <w:rFonts w:hint="eastAsia" w:ascii="宋体" w:hAnsi="宋体" w:cs="宋体"/>
                <w:color w:val="000000"/>
                <w:kern w:val="0"/>
                <w:szCs w:val="21"/>
              </w:rPr>
              <w:t>30</w:t>
            </w:r>
          </w:p>
        </w:tc>
      </w:tr>
      <w:tr w14:paraId="0876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Merge w:val="continue"/>
            <w:tcBorders>
              <w:bottom w:val="single" w:color="auto" w:sz="4" w:space="0"/>
              <w:right w:val="single" w:color="auto" w:sz="4" w:space="0"/>
            </w:tcBorders>
            <w:noWrap/>
            <w:vAlign w:val="center"/>
          </w:tcPr>
          <w:p w14:paraId="320046FD">
            <w:pPr>
              <w:jc w:val="center"/>
              <w:rPr>
                <w:rFonts w:ascii="宋体" w:hAnsi="宋体" w:cs="宋体"/>
                <w:b/>
                <w:bCs/>
                <w:color w:val="000000"/>
                <w:kern w:val="0"/>
                <w:szCs w:val="21"/>
              </w:rPr>
            </w:pPr>
          </w:p>
        </w:tc>
        <w:tc>
          <w:tcPr>
            <w:tcW w:w="823" w:type="pct"/>
            <w:tcBorders>
              <w:top w:val="single" w:color="auto" w:sz="4" w:space="0"/>
              <w:bottom w:val="single" w:color="auto" w:sz="4" w:space="0"/>
              <w:right w:val="single" w:color="auto" w:sz="4" w:space="0"/>
            </w:tcBorders>
            <w:noWrap/>
            <w:vAlign w:val="center"/>
          </w:tcPr>
          <w:p w14:paraId="7FAC1D63">
            <w:pPr>
              <w:jc w:val="center"/>
              <w:rPr>
                <w:rFonts w:ascii="宋体" w:hAnsi="宋体" w:cs="宋体"/>
                <w:b/>
                <w:bCs/>
                <w:color w:val="000000"/>
                <w:kern w:val="0"/>
                <w:szCs w:val="21"/>
              </w:rPr>
            </w:pPr>
            <w:r>
              <w:rPr>
                <w:rFonts w:hint="eastAsia" w:ascii="宋体" w:hAnsi="宋体" w:cs="宋体"/>
                <w:b/>
                <w:bCs/>
                <w:color w:val="000000"/>
                <w:kern w:val="0"/>
                <w:szCs w:val="21"/>
              </w:rPr>
              <w:t>柴油机组参考参考尺寸（mm）</w:t>
            </w:r>
          </w:p>
        </w:tc>
        <w:tc>
          <w:tcPr>
            <w:tcW w:w="540" w:type="pct"/>
            <w:tcBorders>
              <w:top w:val="single" w:color="auto" w:sz="4" w:space="0"/>
              <w:left w:val="single" w:color="auto" w:sz="4" w:space="0"/>
              <w:bottom w:val="single" w:color="auto" w:sz="4" w:space="0"/>
              <w:right w:val="single" w:color="auto" w:sz="4" w:space="0"/>
            </w:tcBorders>
            <w:noWrap/>
            <w:vAlign w:val="center"/>
          </w:tcPr>
          <w:p w14:paraId="7685E8B9">
            <w:pPr>
              <w:spacing w:line="360" w:lineRule="auto"/>
              <w:jc w:val="center"/>
              <w:rPr>
                <w:rFonts w:ascii="宋体" w:hAnsi="宋体" w:cs="宋体"/>
                <w:color w:val="000000"/>
                <w:kern w:val="0"/>
                <w:szCs w:val="21"/>
              </w:rPr>
            </w:pPr>
            <w:r>
              <w:rPr>
                <w:rFonts w:hint="eastAsia" w:ascii="宋体" w:hAnsi="宋体" w:cs="宋体"/>
                <w:color w:val="000000"/>
                <w:kern w:val="0"/>
                <w:szCs w:val="21"/>
              </w:rPr>
              <w:t>3898</w:t>
            </w:r>
            <w:r>
              <w:rPr>
                <w:rFonts w:hint="eastAsia" w:ascii="宋体" w:hAnsi="宋体" w:eastAsia="宋体" w:cs="宋体"/>
                <w:color w:val="000000"/>
                <w:kern w:val="0"/>
                <w:szCs w:val="21"/>
              </w:rPr>
              <w:t>×</w:t>
            </w:r>
            <w:r>
              <w:rPr>
                <w:rFonts w:hint="eastAsia" w:ascii="宋体" w:hAnsi="宋体" w:cs="宋体"/>
                <w:color w:val="000000"/>
                <w:kern w:val="0"/>
                <w:szCs w:val="21"/>
              </w:rPr>
              <w:t>1353</w:t>
            </w:r>
            <w:r>
              <w:rPr>
                <w:rFonts w:hint="eastAsia" w:ascii="宋体" w:hAnsi="宋体" w:eastAsia="宋体" w:cs="宋体"/>
                <w:color w:val="000000"/>
                <w:kern w:val="0"/>
                <w:szCs w:val="21"/>
              </w:rPr>
              <w:t>×2792</w:t>
            </w:r>
          </w:p>
        </w:tc>
        <w:tc>
          <w:tcPr>
            <w:tcW w:w="578" w:type="pct"/>
            <w:tcBorders>
              <w:top w:val="single" w:color="auto" w:sz="4" w:space="0"/>
              <w:left w:val="single" w:color="auto" w:sz="4" w:space="0"/>
              <w:bottom w:val="single" w:color="auto" w:sz="4" w:space="0"/>
              <w:right w:val="single" w:color="auto" w:sz="4" w:space="0"/>
            </w:tcBorders>
            <w:noWrap/>
            <w:vAlign w:val="center"/>
          </w:tcPr>
          <w:p w14:paraId="57B84E90">
            <w:pPr>
              <w:spacing w:line="360" w:lineRule="auto"/>
              <w:jc w:val="center"/>
              <w:rPr>
                <w:rFonts w:ascii="宋体" w:hAnsi="宋体" w:cs="宋体"/>
                <w:color w:val="000000"/>
                <w:kern w:val="0"/>
                <w:szCs w:val="21"/>
              </w:rPr>
            </w:pPr>
            <w:r>
              <w:rPr>
                <w:rFonts w:hint="eastAsia" w:ascii="宋体" w:hAnsi="宋体" w:cs="宋体"/>
                <w:color w:val="000000"/>
                <w:kern w:val="0"/>
                <w:szCs w:val="21"/>
              </w:rPr>
              <w:t>4638</w:t>
            </w:r>
            <w:r>
              <w:rPr>
                <w:rFonts w:hint="eastAsia" w:ascii="宋体" w:hAnsi="宋体" w:eastAsia="宋体" w:cs="宋体"/>
                <w:color w:val="000000"/>
                <w:kern w:val="0"/>
                <w:szCs w:val="21"/>
              </w:rPr>
              <w:t>×1353×2792</w:t>
            </w:r>
          </w:p>
        </w:tc>
        <w:tc>
          <w:tcPr>
            <w:tcW w:w="584" w:type="pct"/>
            <w:tcBorders>
              <w:top w:val="single" w:color="auto" w:sz="4" w:space="0"/>
              <w:left w:val="single" w:color="auto" w:sz="4" w:space="0"/>
              <w:bottom w:val="single" w:color="auto" w:sz="4" w:space="0"/>
              <w:right w:val="single" w:color="auto" w:sz="4" w:space="0"/>
            </w:tcBorders>
            <w:noWrap/>
            <w:vAlign w:val="center"/>
          </w:tcPr>
          <w:p w14:paraId="67BB244E">
            <w:pPr>
              <w:spacing w:line="360" w:lineRule="auto"/>
              <w:jc w:val="center"/>
              <w:rPr>
                <w:rFonts w:ascii="宋体" w:hAnsi="宋体" w:cs="宋体"/>
                <w:color w:val="000000"/>
                <w:kern w:val="0"/>
                <w:szCs w:val="21"/>
              </w:rPr>
            </w:pPr>
            <w:r>
              <w:rPr>
                <w:rFonts w:hint="eastAsia" w:ascii="宋体" w:hAnsi="宋体" w:cs="宋体"/>
                <w:color w:val="000000"/>
                <w:kern w:val="0"/>
                <w:szCs w:val="21"/>
              </w:rPr>
              <w:t>4934</w:t>
            </w:r>
            <w:r>
              <w:rPr>
                <w:rFonts w:hint="eastAsia" w:ascii="宋体" w:hAnsi="宋体" w:eastAsia="宋体" w:cs="宋体"/>
                <w:color w:val="000000"/>
                <w:kern w:val="0"/>
                <w:szCs w:val="21"/>
              </w:rPr>
              <w:t>×1818×3239</w:t>
            </w:r>
          </w:p>
        </w:tc>
        <w:tc>
          <w:tcPr>
            <w:tcW w:w="616" w:type="pct"/>
            <w:tcBorders>
              <w:top w:val="single" w:color="auto" w:sz="4" w:space="0"/>
              <w:left w:val="single" w:color="auto" w:sz="4" w:space="0"/>
              <w:bottom w:val="single" w:color="auto" w:sz="4" w:space="0"/>
              <w:right w:val="single" w:color="auto" w:sz="4" w:space="0"/>
            </w:tcBorders>
            <w:noWrap/>
            <w:vAlign w:val="center"/>
          </w:tcPr>
          <w:p w14:paraId="5C590D12">
            <w:pPr>
              <w:spacing w:line="360" w:lineRule="auto"/>
              <w:jc w:val="center"/>
              <w:rPr>
                <w:rFonts w:ascii="宋体" w:hAnsi="宋体" w:cs="宋体"/>
                <w:color w:val="000000"/>
                <w:kern w:val="0"/>
                <w:szCs w:val="21"/>
              </w:rPr>
            </w:pPr>
            <w:r>
              <w:rPr>
                <w:rFonts w:hint="eastAsia" w:ascii="宋体" w:hAnsi="宋体" w:cs="宋体"/>
                <w:color w:val="000000"/>
                <w:kern w:val="0"/>
                <w:szCs w:val="21"/>
              </w:rPr>
              <w:t>6010</w:t>
            </w:r>
            <w:r>
              <w:rPr>
                <w:rFonts w:hint="eastAsia" w:ascii="宋体" w:hAnsi="宋体" w:eastAsia="宋体" w:cs="宋体"/>
                <w:color w:val="000000"/>
                <w:kern w:val="0"/>
                <w:szCs w:val="21"/>
              </w:rPr>
              <w:t>×1853×3480</w:t>
            </w:r>
          </w:p>
        </w:tc>
        <w:tc>
          <w:tcPr>
            <w:tcW w:w="540" w:type="pct"/>
            <w:tcBorders>
              <w:top w:val="single" w:color="auto" w:sz="4" w:space="0"/>
              <w:left w:val="single" w:color="auto" w:sz="4" w:space="0"/>
              <w:bottom w:val="single" w:color="auto" w:sz="4" w:space="0"/>
              <w:right w:val="single" w:color="auto" w:sz="4" w:space="0"/>
            </w:tcBorders>
            <w:noWrap/>
            <w:vAlign w:val="center"/>
          </w:tcPr>
          <w:p w14:paraId="7E06FC9E">
            <w:pPr>
              <w:spacing w:line="360" w:lineRule="auto"/>
              <w:jc w:val="center"/>
              <w:rPr>
                <w:rFonts w:ascii="宋体" w:hAnsi="宋体" w:cs="宋体"/>
                <w:color w:val="000000"/>
                <w:kern w:val="0"/>
                <w:szCs w:val="21"/>
              </w:rPr>
            </w:pPr>
            <w:r>
              <w:rPr>
                <w:rFonts w:hint="eastAsia" w:ascii="宋体" w:hAnsi="宋体" w:cs="宋体"/>
                <w:color w:val="000000"/>
                <w:kern w:val="0"/>
                <w:szCs w:val="21"/>
              </w:rPr>
              <w:t>5153</w:t>
            </w:r>
            <w:r>
              <w:rPr>
                <w:rFonts w:hint="eastAsia" w:ascii="宋体" w:hAnsi="宋体" w:eastAsia="宋体" w:cs="宋体"/>
                <w:color w:val="000000"/>
                <w:kern w:val="0"/>
                <w:szCs w:val="21"/>
              </w:rPr>
              <w:t>×1684×3386</w:t>
            </w:r>
          </w:p>
        </w:tc>
        <w:tc>
          <w:tcPr>
            <w:tcW w:w="535" w:type="pct"/>
            <w:tcBorders>
              <w:top w:val="single" w:color="auto" w:sz="4" w:space="0"/>
              <w:left w:val="single" w:color="auto" w:sz="4" w:space="0"/>
              <w:bottom w:val="single" w:color="auto" w:sz="4" w:space="0"/>
            </w:tcBorders>
            <w:noWrap/>
            <w:vAlign w:val="center"/>
          </w:tcPr>
          <w:p w14:paraId="3C529A60">
            <w:pPr>
              <w:spacing w:line="360" w:lineRule="auto"/>
              <w:jc w:val="center"/>
              <w:rPr>
                <w:rFonts w:ascii="宋体" w:hAnsi="宋体" w:cs="宋体"/>
                <w:color w:val="000000"/>
                <w:kern w:val="0"/>
                <w:szCs w:val="21"/>
              </w:rPr>
            </w:pPr>
            <w:r>
              <w:rPr>
                <w:rFonts w:hint="eastAsia" w:ascii="宋体" w:hAnsi="宋体" w:cs="宋体"/>
                <w:color w:val="000000"/>
                <w:kern w:val="0"/>
                <w:szCs w:val="21"/>
              </w:rPr>
              <w:t>6044</w:t>
            </w:r>
            <w:r>
              <w:rPr>
                <w:rFonts w:hint="eastAsia" w:ascii="宋体" w:hAnsi="宋体" w:eastAsia="宋体" w:cs="宋体"/>
                <w:color w:val="000000"/>
                <w:kern w:val="0"/>
                <w:szCs w:val="21"/>
              </w:rPr>
              <w:t>×1810×3463</w:t>
            </w:r>
          </w:p>
        </w:tc>
      </w:tr>
      <w:tr w14:paraId="6FB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tcBorders>
              <w:bottom w:val="single" w:color="auto" w:sz="4" w:space="0"/>
              <w:right w:val="single" w:color="auto" w:sz="4" w:space="0"/>
            </w:tcBorders>
            <w:noWrap/>
            <w:vAlign w:val="center"/>
          </w:tcPr>
          <w:p w14:paraId="4B5B53F4">
            <w:pPr>
              <w:jc w:val="center"/>
              <w:rPr>
                <w:rFonts w:ascii="宋体" w:hAnsi="宋体" w:cs="宋体"/>
                <w:b/>
                <w:bCs/>
                <w:color w:val="000000"/>
                <w:kern w:val="0"/>
                <w:szCs w:val="21"/>
              </w:rPr>
            </w:pPr>
            <w:r>
              <w:rPr>
                <w:rFonts w:hint="eastAsia" w:ascii="宋体" w:hAnsi="宋体" w:cs="宋体"/>
                <w:b/>
                <w:bCs/>
                <w:color w:val="000000"/>
                <w:kern w:val="0"/>
                <w:szCs w:val="21"/>
              </w:rPr>
              <w:t>广柴股份本部——南沙大岗基地</w:t>
            </w:r>
          </w:p>
        </w:tc>
        <w:tc>
          <w:tcPr>
            <w:tcW w:w="823" w:type="pct"/>
            <w:tcBorders>
              <w:top w:val="single" w:color="auto" w:sz="4" w:space="0"/>
              <w:bottom w:val="single" w:color="auto" w:sz="4" w:space="0"/>
              <w:right w:val="single" w:color="auto" w:sz="4" w:space="0"/>
            </w:tcBorders>
            <w:noWrap/>
            <w:vAlign w:val="center"/>
          </w:tcPr>
          <w:p w14:paraId="13BC238D">
            <w:pPr>
              <w:jc w:val="center"/>
              <w:rPr>
                <w:rFonts w:ascii="宋体" w:hAnsi="宋体" w:cs="宋体"/>
                <w:b/>
                <w:bCs/>
                <w:color w:val="000000"/>
                <w:kern w:val="0"/>
                <w:szCs w:val="21"/>
              </w:rPr>
            </w:pPr>
            <w:r>
              <w:rPr>
                <w:rFonts w:hint="eastAsia" w:ascii="宋体" w:hAnsi="宋体" w:cs="宋体"/>
                <w:b/>
                <w:bCs/>
                <w:color w:val="000000"/>
                <w:kern w:val="0"/>
                <w:szCs w:val="21"/>
              </w:rPr>
              <w:t>运输总价</w:t>
            </w:r>
          </w:p>
          <w:p w14:paraId="4B6958F6">
            <w:pPr>
              <w:jc w:val="center"/>
              <w:rPr>
                <w:rFonts w:ascii="宋体" w:hAnsi="宋体" w:cs="宋体"/>
                <w:b/>
                <w:bCs/>
                <w:color w:val="000000"/>
                <w:kern w:val="0"/>
                <w:szCs w:val="21"/>
              </w:rPr>
            </w:pPr>
            <w:r>
              <w:rPr>
                <w:rFonts w:hint="eastAsia" w:ascii="宋体" w:hAnsi="宋体" w:cs="宋体"/>
                <w:b/>
                <w:bCs/>
                <w:color w:val="000000"/>
                <w:kern w:val="0"/>
                <w:szCs w:val="21"/>
              </w:rPr>
              <w:t>（元/台套）</w:t>
            </w:r>
          </w:p>
        </w:tc>
        <w:tc>
          <w:tcPr>
            <w:tcW w:w="540" w:type="pct"/>
            <w:tcBorders>
              <w:top w:val="single" w:color="auto" w:sz="4" w:space="0"/>
              <w:left w:val="single" w:color="auto" w:sz="4" w:space="0"/>
              <w:bottom w:val="single" w:color="auto" w:sz="4" w:space="0"/>
              <w:right w:val="single" w:color="auto" w:sz="4" w:space="0"/>
            </w:tcBorders>
            <w:noWrap/>
            <w:vAlign w:val="center"/>
          </w:tcPr>
          <w:p w14:paraId="218ED2CB">
            <w:pPr>
              <w:spacing w:line="360" w:lineRule="auto"/>
              <w:jc w:val="center"/>
              <w:rPr>
                <w:rFonts w:ascii="宋体" w:hAnsi="宋体" w:cs="宋体"/>
                <w:color w:val="000000"/>
                <w:kern w:val="0"/>
                <w:szCs w:val="21"/>
              </w:rPr>
            </w:pPr>
          </w:p>
        </w:tc>
        <w:tc>
          <w:tcPr>
            <w:tcW w:w="578" w:type="pct"/>
            <w:tcBorders>
              <w:top w:val="single" w:color="auto" w:sz="4" w:space="0"/>
              <w:left w:val="single" w:color="auto" w:sz="4" w:space="0"/>
              <w:bottom w:val="single" w:color="auto" w:sz="4" w:space="0"/>
              <w:right w:val="single" w:color="auto" w:sz="4" w:space="0"/>
            </w:tcBorders>
            <w:noWrap/>
            <w:vAlign w:val="center"/>
          </w:tcPr>
          <w:p w14:paraId="2D2E4139">
            <w:pPr>
              <w:spacing w:line="360" w:lineRule="auto"/>
              <w:jc w:val="center"/>
              <w:rPr>
                <w:rFonts w:ascii="宋体" w:hAnsi="宋体" w:cs="宋体"/>
                <w:color w:val="000000"/>
                <w:kern w:val="0"/>
                <w:szCs w:val="21"/>
              </w:rPr>
            </w:pPr>
          </w:p>
        </w:tc>
        <w:tc>
          <w:tcPr>
            <w:tcW w:w="584" w:type="pct"/>
            <w:tcBorders>
              <w:top w:val="single" w:color="auto" w:sz="4" w:space="0"/>
              <w:left w:val="single" w:color="auto" w:sz="4" w:space="0"/>
              <w:bottom w:val="single" w:color="auto" w:sz="4" w:space="0"/>
              <w:right w:val="single" w:color="auto" w:sz="4" w:space="0"/>
            </w:tcBorders>
            <w:noWrap/>
            <w:vAlign w:val="center"/>
          </w:tcPr>
          <w:p w14:paraId="2CDACC20">
            <w:pPr>
              <w:spacing w:line="360" w:lineRule="auto"/>
              <w:jc w:val="center"/>
              <w:rPr>
                <w:rFonts w:ascii="宋体" w:hAnsi="宋体" w:cs="宋体"/>
                <w:color w:val="000000"/>
                <w:kern w:val="0"/>
                <w:szCs w:val="21"/>
              </w:rPr>
            </w:pPr>
          </w:p>
        </w:tc>
        <w:tc>
          <w:tcPr>
            <w:tcW w:w="616" w:type="pct"/>
            <w:tcBorders>
              <w:top w:val="single" w:color="auto" w:sz="4" w:space="0"/>
              <w:left w:val="single" w:color="auto" w:sz="4" w:space="0"/>
              <w:bottom w:val="single" w:color="auto" w:sz="4" w:space="0"/>
              <w:right w:val="single" w:color="auto" w:sz="4" w:space="0"/>
            </w:tcBorders>
            <w:noWrap/>
            <w:vAlign w:val="center"/>
          </w:tcPr>
          <w:p w14:paraId="3369370A">
            <w:pPr>
              <w:spacing w:line="360" w:lineRule="auto"/>
              <w:jc w:val="center"/>
              <w:rPr>
                <w:rFonts w:ascii="宋体" w:hAnsi="宋体" w:cs="宋体"/>
                <w:color w:val="000000"/>
                <w:kern w:val="0"/>
                <w:szCs w:val="21"/>
              </w:rPr>
            </w:pPr>
          </w:p>
        </w:tc>
        <w:tc>
          <w:tcPr>
            <w:tcW w:w="540" w:type="pct"/>
            <w:tcBorders>
              <w:top w:val="single" w:color="auto" w:sz="4" w:space="0"/>
              <w:left w:val="single" w:color="auto" w:sz="4" w:space="0"/>
              <w:bottom w:val="single" w:color="auto" w:sz="4" w:space="0"/>
              <w:right w:val="single" w:color="auto" w:sz="4" w:space="0"/>
            </w:tcBorders>
            <w:noWrap/>
            <w:vAlign w:val="center"/>
          </w:tcPr>
          <w:p w14:paraId="29E5634C">
            <w:pPr>
              <w:spacing w:line="360" w:lineRule="auto"/>
              <w:jc w:val="center"/>
              <w:rPr>
                <w:rFonts w:ascii="宋体" w:hAnsi="宋体" w:cs="宋体"/>
                <w:color w:val="000000"/>
                <w:kern w:val="0"/>
                <w:szCs w:val="21"/>
              </w:rPr>
            </w:pPr>
          </w:p>
        </w:tc>
        <w:tc>
          <w:tcPr>
            <w:tcW w:w="535" w:type="pct"/>
            <w:tcBorders>
              <w:top w:val="single" w:color="auto" w:sz="4" w:space="0"/>
              <w:left w:val="single" w:color="auto" w:sz="4" w:space="0"/>
              <w:bottom w:val="single" w:color="auto" w:sz="4" w:space="0"/>
            </w:tcBorders>
            <w:noWrap/>
            <w:vAlign w:val="center"/>
          </w:tcPr>
          <w:p w14:paraId="7A8C9181">
            <w:pPr>
              <w:spacing w:line="360" w:lineRule="auto"/>
              <w:jc w:val="center"/>
              <w:rPr>
                <w:rFonts w:ascii="宋体" w:hAnsi="宋体" w:cs="宋体"/>
                <w:color w:val="000000"/>
                <w:kern w:val="0"/>
                <w:szCs w:val="21"/>
              </w:rPr>
            </w:pPr>
          </w:p>
        </w:tc>
      </w:tr>
      <w:tr w14:paraId="5D0A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tcBorders>
              <w:bottom w:val="single" w:color="auto" w:sz="4" w:space="0"/>
              <w:right w:val="single" w:color="auto" w:sz="4" w:space="0"/>
            </w:tcBorders>
            <w:noWrap/>
            <w:vAlign w:val="center"/>
          </w:tcPr>
          <w:p w14:paraId="3F524558">
            <w:pPr>
              <w:jc w:val="center"/>
              <w:rPr>
                <w:rFonts w:ascii="宋体" w:hAnsi="宋体" w:cs="宋体"/>
                <w:b/>
                <w:bCs/>
                <w:color w:val="000000"/>
                <w:kern w:val="0"/>
                <w:szCs w:val="21"/>
              </w:rPr>
            </w:pPr>
            <w:r>
              <w:rPr>
                <w:rFonts w:hint="eastAsia" w:ascii="宋体" w:hAnsi="宋体" w:cs="宋体"/>
                <w:b/>
                <w:bCs/>
                <w:color w:val="000000"/>
                <w:kern w:val="0"/>
                <w:szCs w:val="21"/>
              </w:rPr>
              <w:t>南沙大岗基地——广柴股份本部</w:t>
            </w:r>
          </w:p>
        </w:tc>
        <w:tc>
          <w:tcPr>
            <w:tcW w:w="823" w:type="pct"/>
            <w:tcBorders>
              <w:top w:val="single" w:color="auto" w:sz="4" w:space="0"/>
              <w:bottom w:val="single" w:color="auto" w:sz="4" w:space="0"/>
              <w:right w:val="single" w:color="auto" w:sz="4" w:space="0"/>
            </w:tcBorders>
            <w:noWrap/>
            <w:vAlign w:val="center"/>
          </w:tcPr>
          <w:p w14:paraId="6A75C6A1">
            <w:pPr>
              <w:jc w:val="center"/>
              <w:rPr>
                <w:rFonts w:ascii="宋体" w:hAnsi="宋体" w:cs="宋体"/>
                <w:b/>
                <w:bCs/>
                <w:color w:val="000000"/>
                <w:kern w:val="0"/>
                <w:szCs w:val="21"/>
              </w:rPr>
            </w:pPr>
            <w:r>
              <w:rPr>
                <w:rFonts w:hint="eastAsia" w:ascii="宋体" w:hAnsi="宋体" w:cs="宋体"/>
                <w:b/>
                <w:bCs/>
                <w:color w:val="000000"/>
                <w:kern w:val="0"/>
                <w:szCs w:val="21"/>
              </w:rPr>
              <w:t>运输总价</w:t>
            </w:r>
          </w:p>
          <w:p w14:paraId="479C7EEC">
            <w:pPr>
              <w:jc w:val="center"/>
              <w:rPr>
                <w:rFonts w:ascii="宋体" w:hAnsi="宋体" w:cs="宋体"/>
                <w:b/>
                <w:bCs/>
                <w:color w:val="000000"/>
                <w:kern w:val="0"/>
                <w:szCs w:val="21"/>
              </w:rPr>
            </w:pPr>
            <w:r>
              <w:rPr>
                <w:rFonts w:hint="eastAsia" w:ascii="宋体" w:hAnsi="宋体" w:cs="宋体"/>
                <w:b/>
                <w:bCs/>
                <w:color w:val="000000"/>
                <w:kern w:val="0"/>
                <w:szCs w:val="21"/>
              </w:rPr>
              <w:t>（元/台套）</w:t>
            </w:r>
          </w:p>
        </w:tc>
        <w:tc>
          <w:tcPr>
            <w:tcW w:w="540" w:type="pct"/>
            <w:tcBorders>
              <w:top w:val="single" w:color="auto" w:sz="4" w:space="0"/>
              <w:left w:val="single" w:color="auto" w:sz="4" w:space="0"/>
              <w:bottom w:val="single" w:color="auto" w:sz="4" w:space="0"/>
              <w:right w:val="single" w:color="auto" w:sz="4" w:space="0"/>
            </w:tcBorders>
            <w:noWrap/>
            <w:vAlign w:val="center"/>
          </w:tcPr>
          <w:p w14:paraId="37DBF23F">
            <w:pPr>
              <w:spacing w:line="360" w:lineRule="auto"/>
              <w:jc w:val="center"/>
              <w:rPr>
                <w:rFonts w:ascii="宋体" w:hAnsi="宋体" w:cs="宋体"/>
                <w:color w:val="000000"/>
                <w:kern w:val="0"/>
                <w:szCs w:val="21"/>
              </w:rPr>
            </w:pPr>
          </w:p>
        </w:tc>
        <w:tc>
          <w:tcPr>
            <w:tcW w:w="578" w:type="pct"/>
            <w:tcBorders>
              <w:top w:val="single" w:color="auto" w:sz="4" w:space="0"/>
              <w:left w:val="single" w:color="auto" w:sz="4" w:space="0"/>
              <w:bottom w:val="single" w:color="auto" w:sz="4" w:space="0"/>
              <w:right w:val="single" w:color="auto" w:sz="4" w:space="0"/>
            </w:tcBorders>
            <w:noWrap/>
            <w:vAlign w:val="center"/>
          </w:tcPr>
          <w:p w14:paraId="645D08EA">
            <w:pPr>
              <w:spacing w:line="360" w:lineRule="auto"/>
              <w:jc w:val="center"/>
              <w:rPr>
                <w:rFonts w:ascii="宋体" w:hAnsi="宋体" w:cs="宋体"/>
                <w:color w:val="000000"/>
                <w:kern w:val="0"/>
                <w:szCs w:val="21"/>
              </w:rPr>
            </w:pPr>
          </w:p>
        </w:tc>
        <w:tc>
          <w:tcPr>
            <w:tcW w:w="584" w:type="pct"/>
            <w:tcBorders>
              <w:top w:val="single" w:color="auto" w:sz="4" w:space="0"/>
              <w:left w:val="single" w:color="auto" w:sz="4" w:space="0"/>
              <w:bottom w:val="single" w:color="auto" w:sz="4" w:space="0"/>
              <w:right w:val="single" w:color="auto" w:sz="4" w:space="0"/>
            </w:tcBorders>
            <w:noWrap/>
            <w:vAlign w:val="center"/>
          </w:tcPr>
          <w:p w14:paraId="70CB1D1D">
            <w:pPr>
              <w:spacing w:line="360" w:lineRule="auto"/>
              <w:jc w:val="center"/>
              <w:rPr>
                <w:rFonts w:ascii="宋体" w:hAnsi="宋体" w:cs="宋体"/>
                <w:color w:val="000000"/>
                <w:kern w:val="0"/>
                <w:szCs w:val="21"/>
              </w:rPr>
            </w:pPr>
          </w:p>
        </w:tc>
        <w:tc>
          <w:tcPr>
            <w:tcW w:w="616" w:type="pct"/>
            <w:tcBorders>
              <w:top w:val="single" w:color="auto" w:sz="4" w:space="0"/>
              <w:left w:val="single" w:color="auto" w:sz="4" w:space="0"/>
              <w:bottom w:val="single" w:color="auto" w:sz="4" w:space="0"/>
              <w:right w:val="single" w:color="auto" w:sz="4" w:space="0"/>
            </w:tcBorders>
            <w:noWrap/>
            <w:vAlign w:val="center"/>
          </w:tcPr>
          <w:p w14:paraId="59F7BFD4">
            <w:pPr>
              <w:spacing w:line="360" w:lineRule="auto"/>
              <w:jc w:val="center"/>
              <w:rPr>
                <w:rFonts w:ascii="宋体" w:hAnsi="宋体" w:cs="宋体"/>
                <w:color w:val="000000"/>
                <w:kern w:val="0"/>
                <w:szCs w:val="21"/>
              </w:rPr>
            </w:pPr>
          </w:p>
        </w:tc>
        <w:tc>
          <w:tcPr>
            <w:tcW w:w="540" w:type="pct"/>
            <w:tcBorders>
              <w:top w:val="single" w:color="auto" w:sz="4" w:space="0"/>
              <w:left w:val="single" w:color="auto" w:sz="4" w:space="0"/>
              <w:bottom w:val="single" w:color="auto" w:sz="4" w:space="0"/>
              <w:right w:val="single" w:color="auto" w:sz="4" w:space="0"/>
            </w:tcBorders>
            <w:noWrap/>
            <w:vAlign w:val="center"/>
          </w:tcPr>
          <w:p w14:paraId="70006DE3">
            <w:pPr>
              <w:spacing w:line="360" w:lineRule="auto"/>
              <w:jc w:val="center"/>
              <w:rPr>
                <w:rFonts w:ascii="宋体" w:hAnsi="宋体" w:cs="宋体"/>
                <w:color w:val="000000"/>
                <w:kern w:val="0"/>
                <w:szCs w:val="21"/>
              </w:rPr>
            </w:pPr>
          </w:p>
        </w:tc>
        <w:tc>
          <w:tcPr>
            <w:tcW w:w="535" w:type="pct"/>
            <w:tcBorders>
              <w:top w:val="single" w:color="auto" w:sz="4" w:space="0"/>
              <w:left w:val="single" w:color="auto" w:sz="4" w:space="0"/>
              <w:bottom w:val="single" w:color="auto" w:sz="4" w:space="0"/>
            </w:tcBorders>
            <w:noWrap/>
            <w:vAlign w:val="center"/>
          </w:tcPr>
          <w:p w14:paraId="6661026C">
            <w:pPr>
              <w:spacing w:line="360" w:lineRule="auto"/>
              <w:jc w:val="center"/>
              <w:rPr>
                <w:rFonts w:ascii="宋体" w:hAnsi="宋体" w:cs="宋体"/>
                <w:color w:val="000000"/>
                <w:kern w:val="0"/>
                <w:szCs w:val="21"/>
              </w:rPr>
            </w:pPr>
          </w:p>
        </w:tc>
      </w:tr>
      <w:tr w14:paraId="0F0C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tcBorders>
              <w:bottom w:val="single" w:color="auto" w:sz="4" w:space="0"/>
              <w:right w:val="single" w:color="auto" w:sz="4" w:space="0"/>
            </w:tcBorders>
            <w:noWrap/>
            <w:vAlign w:val="center"/>
          </w:tcPr>
          <w:p w14:paraId="66BF5265">
            <w:pPr>
              <w:jc w:val="center"/>
              <w:rPr>
                <w:rFonts w:ascii="宋体" w:hAnsi="宋体" w:cs="宋体"/>
                <w:b/>
                <w:bCs/>
                <w:color w:val="000000"/>
                <w:kern w:val="0"/>
                <w:szCs w:val="21"/>
              </w:rPr>
            </w:pPr>
            <w:r>
              <w:rPr>
                <w:rFonts w:hint="eastAsia" w:ascii="宋体" w:hAnsi="宋体" w:cs="宋体"/>
                <w:b/>
                <w:bCs/>
                <w:color w:val="000000"/>
                <w:kern w:val="0"/>
                <w:szCs w:val="21"/>
              </w:rPr>
              <w:t>车型</w:t>
            </w:r>
          </w:p>
        </w:tc>
        <w:tc>
          <w:tcPr>
            <w:tcW w:w="823" w:type="pct"/>
            <w:tcBorders>
              <w:top w:val="single" w:color="auto" w:sz="4" w:space="0"/>
              <w:bottom w:val="single" w:color="auto" w:sz="4" w:space="0"/>
              <w:right w:val="single" w:color="auto" w:sz="4" w:space="0"/>
            </w:tcBorders>
            <w:noWrap/>
            <w:vAlign w:val="center"/>
          </w:tcPr>
          <w:p w14:paraId="2CF6E59E">
            <w:pPr>
              <w:jc w:val="center"/>
              <w:rPr>
                <w:rFonts w:ascii="宋体" w:hAnsi="宋体" w:cs="宋体"/>
                <w:b/>
                <w:bCs/>
                <w:color w:val="000000"/>
                <w:kern w:val="0"/>
                <w:szCs w:val="21"/>
              </w:rPr>
            </w:pPr>
            <w:r>
              <w:rPr>
                <w:rFonts w:hint="eastAsia" w:ascii="宋体" w:hAnsi="宋体" w:cs="宋体"/>
                <w:b/>
                <w:bCs/>
                <w:color w:val="000000"/>
                <w:kern w:val="0"/>
                <w:szCs w:val="21"/>
              </w:rPr>
              <w:t>米</w:t>
            </w:r>
          </w:p>
        </w:tc>
        <w:tc>
          <w:tcPr>
            <w:tcW w:w="540" w:type="pct"/>
            <w:tcBorders>
              <w:top w:val="single" w:color="auto" w:sz="4" w:space="0"/>
              <w:left w:val="single" w:color="auto" w:sz="4" w:space="0"/>
              <w:bottom w:val="single" w:color="auto" w:sz="4" w:space="0"/>
              <w:right w:val="single" w:color="auto" w:sz="4" w:space="0"/>
            </w:tcBorders>
            <w:noWrap/>
            <w:vAlign w:val="center"/>
          </w:tcPr>
          <w:p w14:paraId="6CC777C0">
            <w:pPr>
              <w:spacing w:line="360" w:lineRule="auto"/>
              <w:jc w:val="center"/>
              <w:rPr>
                <w:rFonts w:ascii="宋体" w:hAnsi="宋体" w:cs="宋体"/>
                <w:color w:val="000000"/>
                <w:kern w:val="0"/>
                <w:szCs w:val="21"/>
              </w:rPr>
            </w:pPr>
          </w:p>
        </w:tc>
        <w:tc>
          <w:tcPr>
            <w:tcW w:w="578" w:type="pct"/>
            <w:tcBorders>
              <w:top w:val="single" w:color="auto" w:sz="4" w:space="0"/>
              <w:left w:val="single" w:color="auto" w:sz="4" w:space="0"/>
              <w:bottom w:val="single" w:color="auto" w:sz="4" w:space="0"/>
              <w:right w:val="single" w:color="auto" w:sz="4" w:space="0"/>
            </w:tcBorders>
            <w:noWrap/>
            <w:vAlign w:val="center"/>
          </w:tcPr>
          <w:p w14:paraId="2703DEC6">
            <w:pPr>
              <w:spacing w:line="360" w:lineRule="auto"/>
              <w:jc w:val="center"/>
              <w:rPr>
                <w:rFonts w:ascii="宋体" w:hAnsi="宋体" w:cs="宋体"/>
                <w:color w:val="000000"/>
                <w:kern w:val="0"/>
                <w:szCs w:val="21"/>
              </w:rPr>
            </w:pPr>
          </w:p>
        </w:tc>
        <w:tc>
          <w:tcPr>
            <w:tcW w:w="584" w:type="pct"/>
            <w:tcBorders>
              <w:top w:val="single" w:color="auto" w:sz="4" w:space="0"/>
              <w:left w:val="single" w:color="auto" w:sz="4" w:space="0"/>
              <w:bottom w:val="single" w:color="auto" w:sz="4" w:space="0"/>
              <w:right w:val="single" w:color="auto" w:sz="4" w:space="0"/>
            </w:tcBorders>
            <w:noWrap/>
            <w:vAlign w:val="center"/>
          </w:tcPr>
          <w:p w14:paraId="09565946">
            <w:pPr>
              <w:spacing w:line="360" w:lineRule="auto"/>
              <w:jc w:val="center"/>
              <w:rPr>
                <w:rFonts w:ascii="宋体" w:hAnsi="宋体" w:cs="宋体"/>
                <w:color w:val="000000"/>
                <w:kern w:val="0"/>
                <w:szCs w:val="21"/>
              </w:rPr>
            </w:pPr>
          </w:p>
        </w:tc>
        <w:tc>
          <w:tcPr>
            <w:tcW w:w="616" w:type="pct"/>
            <w:tcBorders>
              <w:top w:val="single" w:color="auto" w:sz="4" w:space="0"/>
              <w:left w:val="single" w:color="auto" w:sz="4" w:space="0"/>
              <w:bottom w:val="single" w:color="auto" w:sz="4" w:space="0"/>
              <w:right w:val="single" w:color="auto" w:sz="4" w:space="0"/>
            </w:tcBorders>
            <w:noWrap/>
            <w:vAlign w:val="center"/>
          </w:tcPr>
          <w:p w14:paraId="3E7C0039">
            <w:pPr>
              <w:spacing w:line="360" w:lineRule="auto"/>
              <w:jc w:val="center"/>
              <w:rPr>
                <w:rFonts w:ascii="宋体" w:hAnsi="宋体" w:cs="宋体"/>
                <w:color w:val="000000"/>
                <w:kern w:val="0"/>
                <w:szCs w:val="21"/>
              </w:rPr>
            </w:pPr>
          </w:p>
        </w:tc>
        <w:tc>
          <w:tcPr>
            <w:tcW w:w="540" w:type="pct"/>
            <w:tcBorders>
              <w:top w:val="single" w:color="auto" w:sz="4" w:space="0"/>
              <w:left w:val="single" w:color="auto" w:sz="4" w:space="0"/>
              <w:bottom w:val="single" w:color="auto" w:sz="4" w:space="0"/>
              <w:right w:val="single" w:color="auto" w:sz="4" w:space="0"/>
            </w:tcBorders>
            <w:noWrap/>
            <w:vAlign w:val="center"/>
          </w:tcPr>
          <w:p w14:paraId="6EA17E28">
            <w:pPr>
              <w:spacing w:line="360" w:lineRule="auto"/>
              <w:jc w:val="center"/>
              <w:rPr>
                <w:rFonts w:ascii="宋体" w:hAnsi="宋体" w:cs="宋体"/>
                <w:color w:val="000000"/>
                <w:kern w:val="0"/>
                <w:szCs w:val="21"/>
              </w:rPr>
            </w:pPr>
          </w:p>
        </w:tc>
        <w:tc>
          <w:tcPr>
            <w:tcW w:w="535" w:type="pct"/>
            <w:tcBorders>
              <w:top w:val="single" w:color="auto" w:sz="4" w:space="0"/>
              <w:left w:val="single" w:color="auto" w:sz="4" w:space="0"/>
              <w:bottom w:val="single" w:color="auto" w:sz="4" w:space="0"/>
            </w:tcBorders>
            <w:noWrap/>
            <w:vAlign w:val="center"/>
          </w:tcPr>
          <w:p w14:paraId="27557FD4">
            <w:pPr>
              <w:spacing w:line="360" w:lineRule="auto"/>
              <w:jc w:val="center"/>
              <w:rPr>
                <w:rFonts w:ascii="宋体" w:hAnsi="宋体" w:cs="宋体"/>
                <w:color w:val="000000"/>
                <w:kern w:val="0"/>
                <w:szCs w:val="21"/>
              </w:rPr>
            </w:pPr>
          </w:p>
        </w:tc>
      </w:tr>
      <w:tr w14:paraId="059A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5000" w:type="pct"/>
            <w:gridSpan w:val="8"/>
            <w:tcBorders>
              <w:top w:val="single" w:color="auto" w:sz="4" w:space="0"/>
              <w:bottom w:val="single" w:color="auto" w:sz="4" w:space="0"/>
            </w:tcBorders>
            <w:noWrap/>
            <w:vAlign w:val="center"/>
          </w:tcPr>
          <w:p w14:paraId="435EA4E4">
            <w:pPr>
              <w:spacing w:line="360" w:lineRule="auto"/>
              <w:jc w:val="center"/>
              <w:rPr>
                <w:rFonts w:ascii="宋体" w:hAnsi="宋体" w:cs="宋体"/>
                <w:color w:val="000000"/>
                <w:kern w:val="0"/>
                <w:szCs w:val="21"/>
              </w:rPr>
            </w:pPr>
          </w:p>
        </w:tc>
      </w:tr>
      <w:tr w14:paraId="0FD6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0" w:type="pct"/>
            <w:vMerge w:val="restart"/>
            <w:tcBorders>
              <w:top w:val="single" w:color="auto" w:sz="4" w:space="0"/>
              <w:right w:val="single" w:color="auto" w:sz="4" w:space="0"/>
            </w:tcBorders>
            <w:noWrap/>
            <w:vAlign w:val="center"/>
          </w:tcPr>
          <w:p w14:paraId="7CFBB15C">
            <w:pPr>
              <w:spacing w:line="360" w:lineRule="auto"/>
              <w:jc w:val="distribute"/>
              <w:rPr>
                <w:rFonts w:ascii="宋体" w:hAnsi="宋体" w:cs="宋体"/>
                <w:b/>
                <w:bCs/>
                <w:color w:val="000000"/>
                <w:kern w:val="0"/>
                <w:szCs w:val="21"/>
              </w:rPr>
            </w:pPr>
            <w:r>
              <w:rPr>
                <w:rFonts w:hint="eastAsia" w:ascii="宋体" w:hAnsi="宋体" w:cs="宋体"/>
                <w:b/>
                <w:bCs/>
                <w:color w:val="000000"/>
                <w:kern w:val="0"/>
                <w:szCs w:val="21"/>
              </w:rPr>
              <w:t>运输起讫点</w:t>
            </w:r>
          </w:p>
        </w:tc>
        <w:tc>
          <w:tcPr>
            <w:tcW w:w="823" w:type="pct"/>
            <w:tcBorders>
              <w:top w:val="single" w:color="auto" w:sz="4" w:space="0"/>
              <w:bottom w:val="single" w:color="auto" w:sz="4" w:space="0"/>
              <w:right w:val="single" w:color="auto" w:sz="4" w:space="0"/>
            </w:tcBorders>
            <w:noWrap/>
            <w:vAlign w:val="center"/>
          </w:tcPr>
          <w:p w14:paraId="39299C76">
            <w:pPr>
              <w:spacing w:line="360" w:lineRule="auto"/>
              <w:jc w:val="distribute"/>
              <w:rPr>
                <w:rFonts w:ascii="宋体" w:hAnsi="宋体" w:cs="宋体"/>
                <w:b/>
                <w:bCs/>
                <w:color w:val="000000"/>
                <w:kern w:val="0"/>
                <w:szCs w:val="21"/>
              </w:rPr>
            </w:pPr>
            <w:r>
              <w:rPr>
                <w:rFonts w:hint="eastAsia" w:ascii="宋体" w:hAnsi="宋体" w:cs="宋体"/>
                <w:b/>
                <w:bCs/>
                <w:color w:val="000000"/>
                <w:kern w:val="0"/>
                <w:szCs w:val="21"/>
              </w:rPr>
              <w:t>机型</w:t>
            </w:r>
          </w:p>
        </w:tc>
        <w:tc>
          <w:tcPr>
            <w:tcW w:w="540" w:type="pct"/>
            <w:tcBorders>
              <w:top w:val="single" w:color="auto" w:sz="4" w:space="0"/>
              <w:left w:val="single" w:color="auto" w:sz="4" w:space="0"/>
              <w:bottom w:val="single" w:color="auto" w:sz="4" w:space="0"/>
              <w:right w:val="single" w:color="auto" w:sz="4" w:space="0"/>
            </w:tcBorders>
            <w:noWrap/>
            <w:vAlign w:val="center"/>
          </w:tcPr>
          <w:p w14:paraId="2012A24D">
            <w:pPr>
              <w:spacing w:line="360" w:lineRule="auto"/>
              <w:jc w:val="center"/>
              <w:rPr>
                <w:rFonts w:ascii="宋体" w:hAnsi="宋体" w:eastAsia="宋体" w:cs="宋体"/>
                <w:b/>
                <w:bCs/>
                <w:color w:val="000000"/>
                <w:kern w:val="0"/>
                <w:szCs w:val="21"/>
              </w:rPr>
            </w:pPr>
            <w:r>
              <w:rPr>
                <w:rFonts w:hint="eastAsia" w:ascii="宋体" w:hAnsi="宋体" w:cs="宋体"/>
                <w:b/>
                <w:bCs/>
                <w:color w:val="000000"/>
                <w:kern w:val="0"/>
                <w:szCs w:val="21"/>
              </w:rPr>
              <w:t>9G26</w:t>
            </w:r>
          </w:p>
        </w:tc>
        <w:tc>
          <w:tcPr>
            <w:tcW w:w="578" w:type="pct"/>
            <w:tcBorders>
              <w:top w:val="single" w:color="auto" w:sz="4" w:space="0"/>
              <w:left w:val="single" w:color="auto" w:sz="4" w:space="0"/>
              <w:bottom w:val="single" w:color="auto" w:sz="4" w:space="0"/>
              <w:right w:val="single" w:color="auto" w:sz="4" w:space="0"/>
            </w:tcBorders>
            <w:noWrap/>
            <w:vAlign w:val="center"/>
          </w:tcPr>
          <w:p w14:paraId="5810F58E">
            <w:pPr>
              <w:spacing w:line="360" w:lineRule="auto"/>
              <w:jc w:val="center"/>
              <w:rPr>
                <w:rFonts w:ascii="宋体" w:hAnsi="宋体" w:eastAsia="宋体" w:cs="宋体"/>
                <w:b/>
                <w:bCs/>
                <w:color w:val="000000"/>
                <w:kern w:val="0"/>
                <w:szCs w:val="21"/>
              </w:rPr>
            </w:pPr>
            <w:r>
              <w:rPr>
                <w:rFonts w:hint="eastAsia" w:ascii="宋体" w:hAnsi="宋体" w:cs="宋体"/>
                <w:b/>
                <w:bCs/>
                <w:color w:val="000000"/>
                <w:kern w:val="0"/>
                <w:szCs w:val="21"/>
              </w:rPr>
              <w:t>6G32</w:t>
            </w:r>
          </w:p>
        </w:tc>
        <w:tc>
          <w:tcPr>
            <w:tcW w:w="584" w:type="pct"/>
            <w:tcBorders>
              <w:top w:val="single" w:color="auto" w:sz="4" w:space="0"/>
              <w:left w:val="single" w:color="auto" w:sz="4" w:space="0"/>
              <w:bottom w:val="single" w:color="auto" w:sz="4" w:space="0"/>
              <w:right w:val="single" w:color="auto" w:sz="4" w:space="0"/>
            </w:tcBorders>
            <w:noWrap/>
            <w:vAlign w:val="center"/>
          </w:tcPr>
          <w:p w14:paraId="016AAB10">
            <w:pPr>
              <w:spacing w:line="360" w:lineRule="auto"/>
              <w:jc w:val="center"/>
              <w:rPr>
                <w:rFonts w:ascii="宋体" w:hAnsi="宋体" w:eastAsia="宋体" w:cs="宋体"/>
                <w:b/>
                <w:bCs/>
                <w:color w:val="000000"/>
                <w:kern w:val="0"/>
                <w:szCs w:val="21"/>
              </w:rPr>
            </w:pPr>
            <w:r>
              <w:rPr>
                <w:rFonts w:hint="eastAsia" w:ascii="宋体" w:hAnsi="宋体" w:cs="宋体"/>
                <w:b/>
                <w:bCs/>
                <w:color w:val="000000"/>
                <w:kern w:val="0"/>
                <w:szCs w:val="21"/>
              </w:rPr>
              <w:t>8G32</w:t>
            </w:r>
          </w:p>
        </w:tc>
        <w:tc>
          <w:tcPr>
            <w:tcW w:w="616" w:type="pct"/>
            <w:tcBorders>
              <w:top w:val="single" w:color="auto" w:sz="4" w:space="0"/>
              <w:left w:val="single" w:color="auto" w:sz="4" w:space="0"/>
              <w:bottom w:val="single" w:color="auto" w:sz="4" w:space="0"/>
              <w:right w:val="single" w:color="auto" w:sz="4" w:space="0"/>
            </w:tcBorders>
            <w:noWrap/>
            <w:vAlign w:val="center"/>
          </w:tcPr>
          <w:p w14:paraId="4258A13F">
            <w:pPr>
              <w:spacing w:line="360" w:lineRule="auto"/>
              <w:jc w:val="center"/>
              <w:rPr>
                <w:rFonts w:ascii="宋体" w:hAnsi="宋体" w:eastAsia="宋体" w:cs="宋体"/>
                <w:b/>
                <w:bCs/>
                <w:color w:val="000000"/>
                <w:kern w:val="0"/>
                <w:szCs w:val="21"/>
              </w:rPr>
            </w:pPr>
            <w:r>
              <w:rPr>
                <w:rFonts w:hint="eastAsia" w:ascii="宋体" w:hAnsi="宋体" w:cs="宋体"/>
                <w:b/>
                <w:bCs/>
                <w:color w:val="000000"/>
                <w:kern w:val="0"/>
                <w:szCs w:val="21"/>
              </w:rPr>
              <w:t>9G32</w:t>
            </w:r>
          </w:p>
        </w:tc>
        <w:tc>
          <w:tcPr>
            <w:tcW w:w="540" w:type="pct"/>
            <w:tcBorders>
              <w:top w:val="single" w:color="auto" w:sz="4" w:space="0"/>
              <w:left w:val="single" w:color="auto" w:sz="4" w:space="0"/>
              <w:bottom w:val="single" w:color="auto" w:sz="4" w:space="0"/>
              <w:right w:val="single" w:color="auto" w:sz="4" w:space="0"/>
            </w:tcBorders>
            <w:noWrap/>
            <w:vAlign w:val="center"/>
          </w:tcPr>
          <w:p w14:paraId="2874EB01">
            <w:pPr>
              <w:spacing w:line="360" w:lineRule="auto"/>
              <w:jc w:val="center"/>
              <w:rPr>
                <w:rFonts w:ascii="宋体" w:hAnsi="宋体" w:eastAsia="宋体" w:cs="宋体"/>
                <w:b/>
                <w:bCs/>
                <w:color w:val="000000"/>
                <w:kern w:val="0"/>
                <w:szCs w:val="21"/>
              </w:rPr>
            </w:pPr>
            <w:r>
              <w:rPr>
                <w:rFonts w:hint="eastAsia" w:ascii="宋体" w:hAnsi="宋体" w:cs="宋体"/>
                <w:b/>
                <w:bCs/>
                <w:color w:val="000000"/>
                <w:kern w:val="0"/>
                <w:szCs w:val="21"/>
              </w:rPr>
              <w:t>16VG32</w:t>
            </w:r>
          </w:p>
        </w:tc>
        <w:tc>
          <w:tcPr>
            <w:tcW w:w="535" w:type="pct"/>
            <w:tcBorders>
              <w:top w:val="single" w:color="auto" w:sz="4" w:space="0"/>
              <w:left w:val="single" w:color="auto" w:sz="4" w:space="0"/>
              <w:bottom w:val="single" w:color="auto" w:sz="4" w:space="0"/>
            </w:tcBorders>
            <w:noWrap/>
            <w:vAlign w:val="center"/>
          </w:tcPr>
          <w:p w14:paraId="2B01C740">
            <w:pPr>
              <w:spacing w:line="360" w:lineRule="auto"/>
              <w:jc w:val="center"/>
              <w:rPr>
                <w:rFonts w:ascii="宋体" w:hAnsi="宋体" w:cs="宋体"/>
                <w:color w:val="000000"/>
                <w:kern w:val="0"/>
                <w:szCs w:val="21"/>
              </w:rPr>
            </w:pPr>
            <w:r>
              <w:rPr>
                <w:rFonts w:hint="eastAsia" w:ascii="宋体" w:hAnsi="宋体" w:cs="宋体"/>
                <w:color w:val="000000"/>
                <w:kern w:val="0"/>
                <w:szCs w:val="21"/>
              </w:rPr>
              <w:t>-</w:t>
            </w:r>
          </w:p>
        </w:tc>
      </w:tr>
      <w:tr w14:paraId="09A1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Merge w:val="continue"/>
            <w:tcBorders>
              <w:right w:val="single" w:color="auto" w:sz="4" w:space="0"/>
            </w:tcBorders>
            <w:noWrap/>
            <w:vAlign w:val="center"/>
          </w:tcPr>
          <w:p w14:paraId="77D3CF5D">
            <w:pPr>
              <w:jc w:val="center"/>
              <w:rPr>
                <w:rFonts w:ascii="宋体" w:hAnsi="宋体" w:cs="宋体"/>
                <w:b/>
                <w:bCs/>
                <w:color w:val="000000"/>
                <w:kern w:val="0"/>
                <w:szCs w:val="21"/>
              </w:rPr>
            </w:pPr>
          </w:p>
        </w:tc>
        <w:tc>
          <w:tcPr>
            <w:tcW w:w="823" w:type="pct"/>
            <w:tcBorders>
              <w:top w:val="single" w:color="auto" w:sz="4" w:space="0"/>
              <w:bottom w:val="single" w:color="auto" w:sz="4" w:space="0"/>
              <w:right w:val="single" w:color="auto" w:sz="4" w:space="0"/>
            </w:tcBorders>
            <w:noWrap/>
            <w:vAlign w:val="center"/>
          </w:tcPr>
          <w:p w14:paraId="7F5920DC">
            <w:pPr>
              <w:jc w:val="center"/>
              <w:rPr>
                <w:rFonts w:ascii="宋体" w:hAnsi="宋体" w:cs="宋体"/>
                <w:b/>
                <w:bCs/>
                <w:color w:val="000000"/>
                <w:kern w:val="0"/>
                <w:szCs w:val="21"/>
              </w:rPr>
            </w:pPr>
            <w:r>
              <w:rPr>
                <w:rFonts w:hint="eastAsia" w:ascii="宋体" w:hAnsi="宋体" w:cs="宋体"/>
                <w:b/>
                <w:bCs/>
                <w:color w:val="000000"/>
                <w:kern w:val="0"/>
                <w:szCs w:val="21"/>
              </w:rPr>
              <w:t>标准保险价值</w:t>
            </w:r>
          </w:p>
          <w:p w14:paraId="2CE0082D">
            <w:pPr>
              <w:jc w:val="center"/>
              <w:rPr>
                <w:rFonts w:ascii="宋体" w:hAnsi="宋体" w:cs="宋体"/>
                <w:b/>
                <w:bCs/>
                <w:color w:val="000000"/>
                <w:kern w:val="0"/>
                <w:szCs w:val="21"/>
              </w:rPr>
            </w:pPr>
            <w:r>
              <w:rPr>
                <w:rFonts w:hint="eastAsia" w:ascii="宋体" w:hAnsi="宋体" w:cs="宋体"/>
                <w:b/>
                <w:bCs/>
                <w:color w:val="000000"/>
                <w:kern w:val="0"/>
                <w:szCs w:val="21"/>
              </w:rPr>
              <w:t>（万元/台套）</w:t>
            </w:r>
          </w:p>
        </w:tc>
        <w:tc>
          <w:tcPr>
            <w:tcW w:w="540" w:type="pct"/>
            <w:tcBorders>
              <w:top w:val="single" w:color="auto" w:sz="4" w:space="0"/>
              <w:left w:val="single" w:color="auto" w:sz="4" w:space="0"/>
              <w:bottom w:val="single" w:color="auto" w:sz="4" w:space="0"/>
              <w:right w:val="single" w:color="auto" w:sz="4" w:space="0"/>
            </w:tcBorders>
            <w:noWrap/>
            <w:vAlign w:val="center"/>
          </w:tcPr>
          <w:p w14:paraId="0DC934AA">
            <w:pPr>
              <w:spacing w:line="360" w:lineRule="auto"/>
              <w:jc w:val="center"/>
              <w:rPr>
                <w:rFonts w:ascii="宋体" w:hAnsi="宋体" w:cs="宋体"/>
                <w:color w:val="000000"/>
                <w:kern w:val="0"/>
                <w:szCs w:val="21"/>
              </w:rPr>
            </w:pPr>
            <w:r>
              <w:rPr>
                <w:rFonts w:hint="eastAsia" w:ascii="宋体" w:hAnsi="宋体" w:cs="宋体"/>
                <w:color w:val="000000"/>
                <w:kern w:val="0"/>
                <w:szCs w:val="21"/>
              </w:rPr>
              <w:t>350</w:t>
            </w:r>
          </w:p>
        </w:tc>
        <w:tc>
          <w:tcPr>
            <w:tcW w:w="578" w:type="pct"/>
            <w:tcBorders>
              <w:top w:val="single" w:color="auto" w:sz="4" w:space="0"/>
              <w:left w:val="single" w:color="auto" w:sz="4" w:space="0"/>
              <w:bottom w:val="single" w:color="auto" w:sz="4" w:space="0"/>
              <w:right w:val="single" w:color="auto" w:sz="4" w:space="0"/>
            </w:tcBorders>
            <w:noWrap/>
            <w:vAlign w:val="center"/>
          </w:tcPr>
          <w:p w14:paraId="20F9D186">
            <w:pPr>
              <w:spacing w:line="360" w:lineRule="auto"/>
              <w:jc w:val="center"/>
              <w:rPr>
                <w:rFonts w:ascii="宋体" w:hAnsi="宋体" w:cs="宋体"/>
                <w:color w:val="000000"/>
                <w:kern w:val="0"/>
                <w:szCs w:val="21"/>
              </w:rPr>
            </w:pPr>
            <w:r>
              <w:rPr>
                <w:rFonts w:hint="eastAsia" w:ascii="宋体" w:hAnsi="宋体" w:cs="宋体"/>
                <w:color w:val="000000"/>
                <w:kern w:val="0"/>
                <w:szCs w:val="21"/>
              </w:rPr>
              <w:t>350</w:t>
            </w:r>
          </w:p>
        </w:tc>
        <w:tc>
          <w:tcPr>
            <w:tcW w:w="584" w:type="pct"/>
            <w:tcBorders>
              <w:top w:val="single" w:color="auto" w:sz="4" w:space="0"/>
              <w:left w:val="single" w:color="auto" w:sz="4" w:space="0"/>
              <w:bottom w:val="single" w:color="auto" w:sz="4" w:space="0"/>
              <w:right w:val="single" w:color="auto" w:sz="4" w:space="0"/>
            </w:tcBorders>
            <w:noWrap/>
            <w:vAlign w:val="center"/>
          </w:tcPr>
          <w:p w14:paraId="0CBDFC80">
            <w:pPr>
              <w:spacing w:line="360" w:lineRule="auto"/>
              <w:jc w:val="center"/>
              <w:rPr>
                <w:rFonts w:ascii="宋体" w:hAnsi="宋体" w:cs="宋体"/>
                <w:color w:val="000000"/>
                <w:kern w:val="0"/>
                <w:szCs w:val="21"/>
              </w:rPr>
            </w:pPr>
            <w:r>
              <w:rPr>
                <w:rFonts w:hint="eastAsia" w:ascii="宋体" w:hAnsi="宋体" w:cs="宋体"/>
                <w:color w:val="000000"/>
                <w:kern w:val="0"/>
                <w:szCs w:val="21"/>
              </w:rPr>
              <w:t>450</w:t>
            </w:r>
          </w:p>
        </w:tc>
        <w:tc>
          <w:tcPr>
            <w:tcW w:w="616" w:type="pct"/>
            <w:tcBorders>
              <w:top w:val="single" w:color="auto" w:sz="4" w:space="0"/>
              <w:left w:val="single" w:color="auto" w:sz="4" w:space="0"/>
              <w:bottom w:val="single" w:color="auto" w:sz="4" w:space="0"/>
              <w:right w:val="single" w:color="auto" w:sz="4" w:space="0"/>
            </w:tcBorders>
            <w:noWrap/>
            <w:vAlign w:val="center"/>
          </w:tcPr>
          <w:p w14:paraId="1165246B">
            <w:pPr>
              <w:spacing w:line="360" w:lineRule="auto"/>
              <w:jc w:val="center"/>
              <w:rPr>
                <w:rFonts w:ascii="宋体" w:hAnsi="宋体" w:cs="宋体"/>
                <w:color w:val="000000"/>
                <w:kern w:val="0"/>
                <w:szCs w:val="21"/>
              </w:rPr>
            </w:pPr>
            <w:r>
              <w:rPr>
                <w:rFonts w:hint="eastAsia" w:ascii="宋体" w:hAnsi="宋体" w:cs="宋体"/>
                <w:color w:val="000000"/>
                <w:kern w:val="0"/>
                <w:szCs w:val="21"/>
              </w:rPr>
              <w:t>550</w:t>
            </w:r>
          </w:p>
        </w:tc>
        <w:tc>
          <w:tcPr>
            <w:tcW w:w="540" w:type="pct"/>
            <w:tcBorders>
              <w:top w:val="single" w:color="auto" w:sz="4" w:space="0"/>
              <w:left w:val="single" w:color="auto" w:sz="4" w:space="0"/>
              <w:bottom w:val="single" w:color="auto" w:sz="4" w:space="0"/>
              <w:right w:val="single" w:color="auto" w:sz="4" w:space="0"/>
            </w:tcBorders>
            <w:noWrap/>
            <w:vAlign w:val="center"/>
          </w:tcPr>
          <w:p w14:paraId="30A8EE7B">
            <w:pPr>
              <w:spacing w:line="360" w:lineRule="auto"/>
              <w:jc w:val="center"/>
              <w:rPr>
                <w:rFonts w:ascii="宋体" w:hAnsi="宋体" w:cs="宋体"/>
                <w:color w:val="000000"/>
                <w:kern w:val="0"/>
                <w:szCs w:val="21"/>
              </w:rPr>
            </w:pPr>
            <w:r>
              <w:rPr>
                <w:rFonts w:hint="eastAsia" w:ascii="宋体" w:hAnsi="宋体" w:cs="宋体"/>
                <w:color w:val="000000"/>
                <w:kern w:val="0"/>
                <w:szCs w:val="21"/>
              </w:rPr>
              <w:t>1000</w:t>
            </w:r>
          </w:p>
        </w:tc>
        <w:tc>
          <w:tcPr>
            <w:tcW w:w="535" w:type="pct"/>
            <w:tcBorders>
              <w:top w:val="single" w:color="auto" w:sz="4" w:space="0"/>
              <w:left w:val="single" w:color="auto" w:sz="4" w:space="0"/>
              <w:bottom w:val="single" w:color="auto" w:sz="4" w:space="0"/>
            </w:tcBorders>
            <w:noWrap/>
            <w:vAlign w:val="center"/>
          </w:tcPr>
          <w:p w14:paraId="383B49A9">
            <w:pPr>
              <w:spacing w:line="360" w:lineRule="auto"/>
              <w:jc w:val="center"/>
              <w:rPr>
                <w:rFonts w:ascii="宋体" w:hAnsi="宋体" w:cs="宋体"/>
                <w:color w:val="000000"/>
                <w:kern w:val="0"/>
                <w:szCs w:val="21"/>
              </w:rPr>
            </w:pPr>
            <w:r>
              <w:rPr>
                <w:rFonts w:hint="eastAsia" w:ascii="宋体" w:hAnsi="宋体" w:cs="宋体"/>
                <w:color w:val="000000"/>
                <w:kern w:val="0"/>
                <w:szCs w:val="21"/>
              </w:rPr>
              <w:t>-</w:t>
            </w:r>
          </w:p>
        </w:tc>
      </w:tr>
      <w:tr w14:paraId="6113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Merge w:val="continue"/>
            <w:tcBorders>
              <w:right w:val="single" w:color="auto" w:sz="4" w:space="0"/>
            </w:tcBorders>
            <w:noWrap/>
            <w:vAlign w:val="center"/>
          </w:tcPr>
          <w:p w14:paraId="75B31A13">
            <w:pPr>
              <w:jc w:val="center"/>
              <w:rPr>
                <w:rFonts w:ascii="宋体" w:hAnsi="宋体" w:cs="宋体"/>
                <w:b/>
                <w:bCs/>
                <w:color w:val="000000"/>
                <w:kern w:val="0"/>
                <w:szCs w:val="21"/>
              </w:rPr>
            </w:pPr>
          </w:p>
        </w:tc>
        <w:tc>
          <w:tcPr>
            <w:tcW w:w="823" w:type="pct"/>
            <w:tcBorders>
              <w:top w:val="single" w:color="auto" w:sz="4" w:space="0"/>
              <w:right w:val="single" w:color="auto" w:sz="4" w:space="0"/>
            </w:tcBorders>
            <w:noWrap/>
            <w:vAlign w:val="center"/>
          </w:tcPr>
          <w:p w14:paraId="607E471E">
            <w:pPr>
              <w:jc w:val="center"/>
              <w:rPr>
                <w:rFonts w:ascii="宋体" w:hAnsi="宋体" w:eastAsia="宋体" w:cs="宋体"/>
                <w:b/>
                <w:bCs/>
                <w:color w:val="000000"/>
                <w:kern w:val="0"/>
                <w:szCs w:val="21"/>
              </w:rPr>
            </w:pPr>
            <w:r>
              <w:rPr>
                <w:rFonts w:hint="eastAsia" w:ascii="宋体" w:hAnsi="宋体" w:cs="宋体"/>
                <w:b/>
                <w:bCs/>
                <w:color w:val="000000"/>
                <w:kern w:val="0"/>
                <w:szCs w:val="21"/>
              </w:rPr>
              <w:t>柴油机组参考重量（吨）</w:t>
            </w:r>
          </w:p>
        </w:tc>
        <w:tc>
          <w:tcPr>
            <w:tcW w:w="540" w:type="pct"/>
            <w:tcBorders>
              <w:top w:val="single" w:color="auto" w:sz="4" w:space="0"/>
              <w:left w:val="single" w:color="auto" w:sz="4" w:space="0"/>
              <w:right w:val="single" w:color="auto" w:sz="4" w:space="0"/>
            </w:tcBorders>
            <w:noWrap/>
            <w:vAlign w:val="center"/>
          </w:tcPr>
          <w:p w14:paraId="745D3B82">
            <w:pPr>
              <w:spacing w:line="360" w:lineRule="auto"/>
              <w:jc w:val="center"/>
              <w:rPr>
                <w:rFonts w:ascii="宋体" w:hAnsi="宋体" w:cs="宋体"/>
                <w:color w:val="000000"/>
                <w:kern w:val="0"/>
                <w:szCs w:val="21"/>
              </w:rPr>
            </w:pPr>
            <w:r>
              <w:rPr>
                <w:rFonts w:hint="eastAsia" w:ascii="宋体" w:hAnsi="宋体" w:cs="宋体"/>
                <w:color w:val="000000"/>
                <w:kern w:val="0"/>
                <w:szCs w:val="21"/>
              </w:rPr>
              <w:t>33</w:t>
            </w:r>
          </w:p>
        </w:tc>
        <w:tc>
          <w:tcPr>
            <w:tcW w:w="578" w:type="pct"/>
            <w:tcBorders>
              <w:top w:val="single" w:color="auto" w:sz="4" w:space="0"/>
              <w:left w:val="single" w:color="auto" w:sz="4" w:space="0"/>
              <w:right w:val="single" w:color="auto" w:sz="4" w:space="0"/>
            </w:tcBorders>
            <w:noWrap/>
            <w:vAlign w:val="center"/>
          </w:tcPr>
          <w:p w14:paraId="544A721F">
            <w:pPr>
              <w:spacing w:line="360" w:lineRule="auto"/>
              <w:jc w:val="center"/>
              <w:rPr>
                <w:rFonts w:ascii="宋体" w:hAnsi="宋体" w:cs="宋体"/>
                <w:color w:val="000000"/>
                <w:kern w:val="0"/>
                <w:szCs w:val="21"/>
              </w:rPr>
            </w:pPr>
            <w:r>
              <w:rPr>
                <w:rFonts w:hint="eastAsia" w:ascii="宋体" w:hAnsi="宋体" w:cs="宋体"/>
                <w:color w:val="000000"/>
                <w:kern w:val="0"/>
                <w:szCs w:val="21"/>
              </w:rPr>
              <w:t>36.5</w:t>
            </w:r>
          </w:p>
        </w:tc>
        <w:tc>
          <w:tcPr>
            <w:tcW w:w="584" w:type="pct"/>
            <w:tcBorders>
              <w:top w:val="single" w:color="auto" w:sz="4" w:space="0"/>
              <w:left w:val="single" w:color="auto" w:sz="4" w:space="0"/>
              <w:right w:val="single" w:color="auto" w:sz="4" w:space="0"/>
            </w:tcBorders>
            <w:noWrap/>
            <w:vAlign w:val="center"/>
          </w:tcPr>
          <w:p w14:paraId="7C41A564">
            <w:pPr>
              <w:spacing w:line="360" w:lineRule="auto"/>
              <w:jc w:val="center"/>
              <w:rPr>
                <w:rFonts w:ascii="宋体" w:hAnsi="宋体" w:cs="宋体"/>
                <w:color w:val="000000"/>
                <w:kern w:val="0"/>
                <w:szCs w:val="21"/>
              </w:rPr>
            </w:pPr>
            <w:r>
              <w:rPr>
                <w:rFonts w:hint="eastAsia" w:ascii="宋体" w:hAnsi="宋体" w:cs="宋体"/>
                <w:color w:val="000000"/>
                <w:kern w:val="0"/>
                <w:szCs w:val="21"/>
              </w:rPr>
              <w:t>46</w:t>
            </w:r>
          </w:p>
        </w:tc>
        <w:tc>
          <w:tcPr>
            <w:tcW w:w="616" w:type="pct"/>
            <w:tcBorders>
              <w:top w:val="single" w:color="auto" w:sz="4" w:space="0"/>
              <w:left w:val="single" w:color="auto" w:sz="4" w:space="0"/>
              <w:right w:val="single" w:color="auto" w:sz="4" w:space="0"/>
            </w:tcBorders>
            <w:noWrap/>
            <w:vAlign w:val="center"/>
          </w:tcPr>
          <w:p w14:paraId="04D41704">
            <w:pPr>
              <w:spacing w:line="360" w:lineRule="auto"/>
              <w:jc w:val="center"/>
              <w:rPr>
                <w:rFonts w:ascii="宋体" w:hAnsi="宋体" w:cs="宋体"/>
                <w:color w:val="000000"/>
                <w:kern w:val="0"/>
                <w:szCs w:val="21"/>
              </w:rPr>
            </w:pPr>
            <w:r>
              <w:rPr>
                <w:rFonts w:hint="eastAsia" w:ascii="宋体" w:hAnsi="宋体" w:cs="宋体"/>
                <w:color w:val="000000"/>
                <w:kern w:val="0"/>
                <w:szCs w:val="21"/>
              </w:rPr>
              <w:t>54</w:t>
            </w:r>
          </w:p>
        </w:tc>
        <w:tc>
          <w:tcPr>
            <w:tcW w:w="540" w:type="pct"/>
            <w:tcBorders>
              <w:top w:val="single" w:color="auto" w:sz="4" w:space="0"/>
              <w:left w:val="single" w:color="auto" w:sz="4" w:space="0"/>
              <w:right w:val="single" w:color="auto" w:sz="4" w:space="0"/>
            </w:tcBorders>
            <w:noWrap/>
            <w:vAlign w:val="center"/>
          </w:tcPr>
          <w:p w14:paraId="2FF8BEB6">
            <w:pPr>
              <w:spacing w:line="360" w:lineRule="auto"/>
              <w:jc w:val="center"/>
              <w:rPr>
                <w:rFonts w:ascii="宋体" w:hAnsi="宋体" w:cs="宋体"/>
                <w:color w:val="000000"/>
                <w:kern w:val="0"/>
                <w:szCs w:val="21"/>
              </w:rPr>
            </w:pPr>
            <w:r>
              <w:rPr>
                <w:rFonts w:hint="eastAsia" w:ascii="宋体" w:hAnsi="宋体" w:cs="宋体"/>
                <w:color w:val="000000"/>
                <w:kern w:val="0"/>
                <w:szCs w:val="21"/>
              </w:rPr>
              <w:t>75.5</w:t>
            </w:r>
          </w:p>
        </w:tc>
        <w:tc>
          <w:tcPr>
            <w:tcW w:w="535" w:type="pct"/>
            <w:tcBorders>
              <w:top w:val="single" w:color="auto" w:sz="4" w:space="0"/>
              <w:left w:val="single" w:color="auto" w:sz="4" w:space="0"/>
            </w:tcBorders>
            <w:noWrap/>
            <w:vAlign w:val="center"/>
          </w:tcPr>
          <w:p w14:paraId="226F70CF">
            <w:pPr>
              <w:spacing w:line="360" w:lineRule="auto"/>
              <w:jc w:val="center"/>
              <w:rPr>
                <w:rFonts w:ascii="宋体" w:hAnsi="宋体" w:cs="宋体"/>
                <w:color w:val="000000"/>
                <w:kern w:val="0"/>
                <w:szCs w:val="21"/>
              </w:rPr>
            </w:pPr>
            <w:r>
              <w:rPr>
                <w:rFonts w:hint="eastAsia" w:ascii="宋体" w:hAnsi="宋体" w:cs="宋体"/>
                <w:color w:val="000000"/>
                <w:kern w:val="0"/>
                <w:szCs w:val="21"/>
              </w:rPr>
              <w:t>-</w:t>
            </w:r>
          </w:p>
        </w:tc>
      </w:tr>
      <w:tr w14:paraId="378E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vMerge w:val="continue"/>
            <w:tcBorders>
              <w:right w:val="single" w:color="auto" w:sz="4" w:space="0"/>
            </w:tcBorders>
            <w:noWrap/>
            <w:vAlign w:val="center"/>
          </w:tcPr>
          <w:p w14:paraId="3685144D">
            <w:pPr>
              <w:jc w:val="center"/>
              <w:rPr>
                <w:rFonts w:ascii="宋体" w:hAnsi="宋体" w:cs="宋体"/>
                <w:b/>
                <w:bCs/>
                <w:color w:val="000000"/>
                <w:kern w:val="0"/>
                <w:szCs w:val="21"/>
              </w:rPr>
            </w:pPr>
          </w:p>
        </w:tc>
        <w:tc>
          <w:tcPr>
            <w:tcW w:w="823" w:type="pct"/>
            <w:noWrap/>
            <w:vAlign w:val="center"/>
          </w:tcPr>
          <w:p w14:paraId="2560BCDB">
            <w:pPr>
              <w:jc w:val="center"/>
              <w:rPr>
                <w:rFonts w:ascii="宋体" w:hAnsi="宋体" w:eastAsia="宋体" w:cs="宋体"/>
                <w:color w:val="000000"/>
                <w:kern w:val="0"/>
                <w:szCs w:val="21"/>
              </w:rPr>
            </w:pPr>
            <w:r>
              <w:rPr>
                <w:rFonts w:hint="eastAsia" w:ascii="宋体" w:hAnsi="宋体" w:cs="宋体"/>
                <w:b/>
                <w:bCs/>
                <w:color w:val="000000"/>
                <w:kern w:val="0"/>
                <w:szCs w:val="21"/>
              </w:rPr>
              <w:t>柴油机组参考参考尺寸（mm）</w:t>
            </w:r>
          </w:p>
        </w:tc>
        <w:tc>
          <w:tcPr>
            <w:tcW w:w="540" w:type="pct"/>
            <w:noWrap/>
            <w:vAlign w:val="center"/>
          </w:tcPr>
          <w:p w14:paraId="2955D023">
            <w:pPr>
              <w:spacing w:line="360" w:lineRule="auto"/>
              <w:jc w:val="center"/>
              <w:rPr>
                <w:rFonts w:ascii="宋体" w:hAnsi="宋体" w:cs="宋体"/>
                <w:color w:val="000000"/>
                <w:kern w:val="0"/>
                <w:szCs w:val="21"/>
              </w:rPr>
            </w:pPr>
            <w:r>
              <w:rPr>
                <w:rFonts w:hint="eastAsia" w:ascii="宋体" w:hAnsi="宋体" w:cs="宋体"/>
                <w:color w:val="000000"/>
                <w:kern w:val="0"/>
                <w:szCs w:val="21"/>
              </w:rPr>
              <w:t>6478</w:t>
            </w:r>
            <w:r>
              <w:rPr>
                <w:rFonts w:hint="eastAsia" w:ascii="宋体" w:hAnsi="宋体" w:eastAsia="宋体" w:cs="宋体"/>
                <w:color w:val="000000"/>
                <w:kern w:val="0"/>
                <w:szCs w:val="21"/>
              </w:rPr>
              <w:t>×1810×3463</w:t>
            </w:r>
          </w:p>
        </w:tc>
        <w:tc>
          <w:tcPr>
            <w:tcW w:w="578" w:type="pct"/>
            <w:noWrap/>
            <w:vAlign w:val="center"/>
          </w:tcPr>
          <w:p w14:paraId="37D699ED">
            <w:pPr>
              <w:spacing w:line="360" w:lineRule="auto"/>
              <w:jc w:val="center"/>
              <w:rPr>
                <w:rFonts w:ascii="宋体" w:hAnsi="宋体" w:cs="宋体"/>
                <w:color w:val="000000"/>
                <w:kern w:val="0"/>
                <w:szCs w:val="21"/>
              </w:rPr>
            </w:pPr>
            <w:r>
              <w:rPr>
                <w:rFonts w:hint="eastAsia" w:ascii="宋体" w:hAnsi="宋体" w:cs="宋体"/>
                <w:color w:val="000000"/>
                <w:kern w:val="0"/>
                <w:szCs w:val="21"/>
              </w:rPr>
              <w:t>5829</w:t>
            </w:r>
            <w:r>
              <w:rPr>
                <w:rFonts w:hint="eastAsia" w:ascii="宋体" w:hAnsi="宋体" w:eastAsia="宋体" w:cs="宋体"/>
                <w:color w:val="000000"/>
                <w:kern w:val="0"/>
                <w:szCs w:val="21"/>
              </w:rPr>
              <w:t>×1924×3650</w:t>
            </w:r>
          </w:p>
        </w:tc>
        <w:tc>
          <w:tcPr>
            <w:tcW w:w="584" w:type="pct"/>
            <w:noWrap/>
            <w:vAlign w:val="center"/>
          </w:tcPr>
          <w:p w14:paraId="4685B55F">
            <w:pPr>
              <w:spacing w:line="360" w:lineRule="auto"/>
              <w:jc w:val="center"/>
              <w:rPr>
                <w:rFonts w:ascii="宋体" w:hAnsi="宋体" w:cs="宋体"/>
                <w:color w:val="000000"/>
                <w:kern w:val="0"/>
                <w:szCs w:val="21"/>
              </w:rPr>
            </w:pPr>
            <w:r>
              <w:rPr>
                <w:rFonts w:hint="eastAsia" w:ascii="宋体" w:hAnsi="宋体" w:cs="宋体"/>
                <w:color w:val="000000"/>
                <w:kern w:val="0"/>
                <w:szCs w:val="21"/>
              </w:rPr>
              <w:t>6895</w:t>
            </w:r>
            <w:r>
              <w:rPr>
                <w:rFonts w:hint="eastAsia" w:ascii="宋体" w:hAnsi="宋体" w:eastAsia="宋体" w:cs="宋体"/>
                <w:color w:val="000000"/>
                <w:kern w:val="0"/>
                <w:szCs w:val="21"/>
              </w:rPr>
              <w:t>×1904×3570</w:t>
            </w:r>
          </w:p>
        </w:tc>
        <w:tc>
          <w:tcPr>
            <w:tcW w:w="616" w:type="pct"/>
            <w:noWrap/>
            <w:vAlign w:val="center"/>
          </w:tcPr>
          <w:p w14:paraId="3FBE96A1">
            <w:pPr>
              <w:spacing w:line="360" w:lineRule="auto"/>
              <w:jc w:val="center"/>
              <w:rPr>
                <w:rFonts w:ascii="宋体" w:hAnsi="宋体" w:cs="宋体"/>
                <w:color w:val="000000"/>
                <w:kern w:val="0"/>
                <w:szCs w:val="21"/>
              </w:rPr>
            </w:pPr>
            <w:r>
              <w:rPr>
                <w:rFonts w:hint="eastAsia" w:ascii="宋体" w:hAnsi="宋体" w:cs="宋体"/>
                <w:color w:val="000000"/>
                <w:kern w:val="0"/>
                <w:szCs w:val="21"/>
              </w:rPr>
              <w:t>7420</w:t>
            </w:r>
            <w:r>
              <w:rPr>
                <w:rFonts w:hint="eastAsia" w:ascii="宋体" w:hAnsi="宋体" w:eastAsia="宋体" w:cs="宋体"/>
                <w:color w:val="000000"/>
                <w:kern w:val="0"/>
                <w:szCs w:val="21"/>
              </w:rPr>
              <w:t>×1910×3820</w:t>
            </w:r>
          </w:p>
        </w:tc>
        <w:tc>
          <w:tcPr>
            <w:tcW w:w="540" w:type="pct"/>
            <w:noWrap/>
            <w:vAlign w:val="center"/>
          </w:tcPr>
          <w:p w14:paraId="3750CB95">
            <w:pPr>
              <w:spacing w:line="360" w:lineRule="auto"/>
              <w:jc w:val="center"/>
              <w:rPr>
                <w:rFonts w:ascii="宋体" w:hAnsi="宋体" w:cs="宋体"/>
                <w:color w:val="000000"/>
                <w:kern w:val="0"/>
                <w:szCs w:val="21"/>
              </w:rPr>
            </w:pPr>
            <w:r>
              <w:rPr>
                <w:rFonts w:hint="eastAsia" w:ascii="宋体" w:hAnsi="宋体" w:cs="宋体"/>
                <w:color w:val="000000"/>
                <w:kern w:val="0"/>
                <w:szCs w:val="21"/>
              </w:rPr>
              <w:t>8050</w:t>
            </w:r>
            <w:r>
              <w:rPr>
                <w:rFonts w:hint="eastAsia" w:ascii="宋体" w:hAnsi="宋体" w:eastAsia="宋体" w:cs="宋体"/>
                <w:color w:val="000000"/>
                <w:kern w:val="0"/>
                <w:szCs w:val="21"/>
              </w:rPr>
              <w:t>×2850×3600</w:t>
            </w:r>
          </w:p>
        </w:tc>
        <w:tc>
          <w:tcPr>
            <w:tcW w:w="535" w:type="pct"/>
            <w:noWrap/>
            <w:vAlign w:val="center"/>
          </w:tcPr>
          <w:p w14:paraId="2133105B">
            <w:pPr>
              <w:spacing w:line="360" w:lineRule="auto"/>
              <w:jc w:val="center"/>
              <w:rPr>
                <w:rFonts w:ascii="宋体" w:hAnsi="宋体" w:cs="宋体"/>
                <w:color w:val="000000"/>
                <w:kern w:val="0"/>
                <w:szCs w:val="21"/>
              </w:rPr>
            </w:pPr>
            <w:r>
              <w:rPr>
                <w:rFonts w:hint="eastAsia" w:ascii="宋体" w:hAnsi="宋体" w:cs="宋体"/>
                <w:color w:val="000000"/>
                <w:kern w:val="0"/>
                <w:szCs w:val="21"/>
              </w:rPr>
              <w:t>-</w:t>
            </w:r>
          </w:p>
        </w:tc>
      </w:tr>
      <w:tr w14:paraId="35D0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tcBorders>
              <w:right w:val="single" w:color="auto" w:sz="4" w:space="0"/>
            </w:tcBorders>
            <w:noWrap/>
            <w:vAlign w:val="center"/>
          </w:tcPr>
          <w:p w14:paraId="3D422716">
            <w:pPr>
              <w:jc w:val="center"/>
              <w:rPr>
                <w:rFonts w:ascii="宋体" w:hAnsi="宋体" w:eastAsia="宋体" w:cs="宋体"/>
                <w:b/>
                <w:bCs/>
                <w:color w:val="000000"/>
                <w:kern w:val="0"/>
                <w:szCs w:val="21"/>
              </w:rPr>
            </w:pPr>
            <w:r>
              <w:rPr>
                <w:rFonts w:hint="eastAsia" w:ascii="宋体" w:hAnsi="宋体" w:cs="宋体"/>
                <w:b/>
                <w:bCs/>
                <w:color w:val="000000"/>
                <w:kern w:val="0"/>
                <w:szCs w:val="21"/>
              </w:rPr>
              <w:t>广柴股份本部——南沙大岗基地</w:t>
            </w:r>
          </w:p>
        </w:tc>
        <w:tc>
          <w:tcPr>
            <w:tcW w:w="823" w:type="pct"/>
            <w:noWrap/>
            <w:vAlign w:val="center"/>
          </w:tcPr>
          <w:p w14:paraId="20118D99">
            <w:pPr>
              <w:jc w:val="center"/>
              <w:rPr>
                <w:rFonts w:ascii="宋体" w:hAnsi="宋体" w:cs="宋体"/>
                <w:b/>
                <w:bCs/>
                <w:color w:val="000000"/>
                <w:kern w:val="0"/>
                <w:szCs w:val="21"/>
              </w:rPr>
            </w:pPr>
            <w:r>
              <w:rPr>
                <w:rFonts w:hint="eastAsia" w:ascii="宋体" w:hAnsi="宋体" w:cs="宋体"/>
                <w:b/>
                <w:bCs/>
                <w:color w:val="000000"/>
                <w:kern w:val="0"/>
                <w:szCs w:val="21"/>
              </w:rPr>
              <w:t>运输总价</w:t>
            </w:r>
          </w:p>
          <w:p w14:paraId="69633874">
            <w:pPr>
              <w:jc w:val="center"/>
              <w:rPr>
                <w:rFonts w:ascii="宋体" w:hAnsi="宋体" w:eastAsia="宋体" w:cs="宋体"/>
                <w:b/>
                <w:bCs/>
                <w:color w:val="000000"/>
                <w:kern w:val="0"/>
                <w:szCs w:val="21"/>
              </w:rPr>
            </w:pPr>
            <w:r>
              <w:rPr>
                <w:rFonts w:hint="eastAsia" w:ascii="宋体" w:hAnsi="宋体" w:cs="宋体"/>
                <w:b/>
                <w:bCs/>
                <w:color w:val="000000"/>
                <w:kern w:val="0"/>
                <w:szCs w:val="21"/>
              </w:rPr>
              <w:t>（元/台套）</w:t>
            </w:r>
          </w:p>
        </w:tc>
        <w:tc>
          <w:tcPr>
            <w:tcW w:w="540" w:type="pct"/>
            <w:noWrap/>
            <w:vAlign w:val="center"/>
          </w:tcPr>
          <w:p w14:paraId="45B8631F">
            <w:pPr>
              <w:spacing w:line="360" w:lineRule="auto"/>
              <w:jc w:val="center"/>
              <w:rPr>
                <w:rFonts w:ascii="宋体" w:hAnsi="宋体" w:cs="宋体"/>
                <w:color w:val="000000"/>
                <w:kern w:val="0"/>
                <w:szCs w:val="21"/>
              </w:rPr>
            </w:pPr>
          </w:p>
        </w:tc>
        <w:tc>
          <w:tcPr>
            <w:tcW w:w="578" w:type="pct"/>
            <w:noWrap/>
            <w:vAlign w:val="center"/>
          </w:tcPr>
          <w:p w14:paraId="719EB3BC">
            <w:pPr>
              <w:spacing w:line="360" w:lineRule="auto"/>
              <w:jc w:val="center"/>
              <w:rPr>
                <w:rFonts w:ascii="宋体" w:hAnsi="宋体" w:cs="宋体"/>
                <w:color w:val="000000"/>
                <w:kern w:val="0"/>
                <w:szCs w:val="21"/>
              </w:rPr>
            </w:pPr>
          </w:p>
        </w:tc>
        <w:tc>
          <w:tcPr>
            <w:tcW w:w="584" w:type="pct"/>
            <w:noWrap/>
            <w:vAlign w:val="center"/>
          </w:tcPr>
          <w:p w14:paraId="3DA571D7">
            <w:pPr>
              <w:spacing w:line="360" w:lineRule="auto"/>
              <w:jc w:val="center"/>
              <w:rPr>
                <w:rFonts w:ascii="宋体" w:hAnsi="宋体" w:cs="宋体"/>
                <w:color w:val="000000"/>
                <w:kern w:val="0"/>
                <w:szCs w:val="21"/>
              </w:rPr>
            </w:pPr>
          </w:p>
        </w:tc>
        <w:tc>
          <w:tcPr>
            <w:tcW w:w="616" w:type="pct"/>
            <w:noWrap/>
            <w:vAlign w:val="center"/>
          </w:tcPr>
          <w:p w14:paraId="796990B5">
            <w:pPr>
              <w:spacing w:line="360" w:lineRule="auto"/>
              <w:jc w:val="center"/>
              <w:rPr>
                <w:rFonts w:ascii="宋体" w:hAnsi="宋体" w:cs="宋体"/>
                <w:color w:val="000000"/>
                <w:kern w:val="0"/>
                <w:szCs w:val="21"/>
              </w:rPr>
            </w:pPr>
          </w:p>
        </w:tc>
        <w:tc>
          <w:tcPr>
            <w:tcW w:w="540" w:type="pct"/>
            <w:noWrap/>
            <w:vAlign w:val="center"/>
          </w:tcPr>
          <w:p w14:paraId="473562C5">
            <w:pPr>
              <w:spacing w:line="360" w:lineRule="auto"/>
              <w:jc w:val="center"/>
              <w:rPr>
                <w:rFonts w:ascii="宋体" w:hAnsi="宋体" w:cs="宋体"/>
                <w:color w:val="000000"/>
                <w:kern w:val="0"/>
                <w:szCs w:val="21"/>
              </w:rPr>
            </w:pPr>
          </w:p>
        </w:tc>
        <w:tc>
          <w:tcPr>
            <w:tcW w:w="535" w:type="pct"/>
            <w:noWrap/>
            <w:vAlign w:val="center"/>
          </w:tcPr>
          <w:p w14:paraId="492413E7">
            <w:pPr>
              <w:spacing w:line="360" w:lineRule="auto"/>
              <w:jc w:val="center"/>
              <w:rPr>
                <w:rFonts w:ascii="宋体" w:hAnsi="宋体" w:cs="宋体"/>
                <w:color w:val="000000"/>
                <w:kern w:val="0"/>
                <w:szCs w:val="21"/>
              </w:rPr>
            </w:pPr>
          </w:p>
        </w:tc>
      </w:tr>
      <w:tr w14:paraId="7EDD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tcBorders>
              <w:right w:val="single" w:color="auto" w:sz="4" w:space="0"/>
            </w:tcBorders>
            <w:noWrap/>
            <w:vAlign w:val="center"/>
          </w:tcPr>
          <w:p w14:paraId="68C072ED">
            <w:pPr>
              <w:jc w:val="center"/>
              <w:rPr>
                <w:rFonts w:ascii="宋体" w:hAnsi="宋体" w:eastAsia="宋体" w:cs="宋体"/>
                <w:b/>
                <w:bCs/>
                <w:color w:val="000000"/>
                <w:kern w:val="0"/>
                <w:szCs w:val="21"/>
              </w:rPr>
            </w:pPr>
            <w:r>
              <w:rPr>
                <w:rFonts w:hint="eastAsia" w:ascii="宋体" w:hAnsi="宋体" w:cs="宋体"/>
                <w:b/>
                <w:bCs/>
                <w:color w:val="000000"/>
                <w:kern w:val="0"/>
                <w:szCs w:val="21"/>
              </w:rPr>
              <w:t>南沙大岗基地——广柴股份本部</w:t>
            </w:r>
          </w:p>
        </w:tc>
        <w:tc>
          <w:tcPr>
            <w:tcW w:w="823" w:type="pct"/>
            <w:noWrap/>
            <w:vAlign w:val="center"/>
          </w:tcPr>
          <w:p w14:paraId="7022900D">
            <w:pPr>
              <w:jc w:val="center"/>
              <w:rPr>
                <w:rFonts w:ascii="宋体" w:hAnsi="宋体" w:cs="宋体"/>
                <w:b/>
                <w:bCs/>
                <w:color w:val="000000"/>
                <w:kern w:val="0"/>
                <w:szCs w:val="21"/>
              </w:rPr>
            </w:pPr>
            <w:r>
              <w:rPr>
                <w:rFonts w:hint="eastAsia" w:ascii="宋体" w:hAnsi="宋体" w:cs="宋体"/>
                <w:b/>
                <w:bCs/>
                <w:color w:val="000000"/>
                <w:kern w:val="0"/>
                <w:szCs w:val="21"/>
              </w:rPr>
              <w:t>运输总价</w:t>
            </w:r>
          </w:p>
          <w:p w14:paraId="750BB07D">
            <w:pPr>
              <w:jc w:val="center"/>
              <w:rPr>
                <w:rFonts w:ascii="宋体" w:hAnsi="宋体" w:eastAsia="宋体" w:cs="宋体"/>
                <w:b/>
                <w:bCs/>
                <w:color w:val="000000"/>
                <w:kern w:val="0"/>
                <w:szCs w:val="21"/>
              </w:rPr>
            </w:pPr>
            <w:r>
              <w:rPr>
                <w:rFonts w:hint="eastAsia" w:ascii="宋体" w:hAnsi="宋体" w:cs="宋体"/>
                <w:b/>
                <w:bCs/>
                <w:color w:val="000000"/>
                <w:kern w:val="0"/>
                <w:szCs w:val="21"/>
              </w:rPr>
              <w:t>（元/台套）</w:t>
            </w:r>
          </w:p>
        </w:tc>
        <w:tc>
          <w:tcPr>
            <w:tcW w:w="540" w:type="pct"/>
            <w:noWrap/>
            <w:vAlign w:val="center"/>
          </w:tcPr>
          <w:p w14:paraId="6D1A8A92">
            <w:pPr>
              <w:spacing w:line="360" w:lineRule="auto"/>
              <w:jc w:val="center"/>
              <w:rPr>
                <w:rFonts w:ascii="宋体" w:hAnsi="宋体" w:cs="宋体"/>
                <w:color w:val="000000"/>
                <w:kern w:val="0"/>
                <w:szCs w:val="21"/>
              </w:rPr>
            </w:pPr>
          </w:p>
        </w:tc>
        <w:tc>
          <w:tcPr>
            <w:tcW w:w="578" w:type="pct"/>
            <w:noWrap/>
            <w:vAlign w:val="center"/>
          </w:tcPr>
          <w:p w14:paraId="146EC739">
            <w:pPr>
              <w:spacing w:line="360" w:lineRule="auto"/>
              <w:jc w:val="center"/>
              <w:rPr>
                <w:rFonts w:ascii="宋体" w:hAnsi="宋体" w:cs="宋体"/>
                <w:color w:val="000000"/>
                <w:kern w:val="0"/>
                <w:szCs w:val="21"/>
              </w:rPr>
            </w:pPr>
          </w:p>
        </w:tc>
        <w:tc>
          <w:tcPr>
            <w:tcW w:w="584" w:type="pct"/>
            <w:noWrap/>
            <w:vAlign w:val="center"/>
          </w:tcPr>
          <w:p w14:paraId="1B499D4D">
            <w:pPr>
              <w:spacing w:line="360" w:lineRule="auto"/>
              <w:jc w:val="center"/>
              <w:rPr>
                <w:rFonts w:ascii="宋体" w:hAnsi="宋体" w:cs="宋体"/>
                <w:color w:val="000000"/>
                <w:kern w:val="0"/>
                <w:szCs w:val="21"/>
              </w:rPr>
            </w:pPr>
          </w:p>
        </w:tc>
        <w:tc>
          <w:tcPr>
            <w:tcW w:w="616" w:type="pct"/>
            <w:noWrap/>
            <w:vAlign w:val="center"/>
          </w:tcPr>
          <w:p w14:paraId="6A69350E">
            <w:pPr>
              <w:spacing w:line="360" w:lineRule="auto"/>
              <w:jc w:val="center"/>
              <w:rPr>
                <w:rFonts w:ascii="宋体" w:hAnsi="宋体" w:cs="宋体"/>
                <w:color w:val="000000"/>
                <w:kern w:val="0"/>
                <w:szCs w:val="21"/>
              </w:rPr>
            </w:pPr>
          </w:p>
        </w:tc>
        <w:tc>
          <w:tcPr>
            <w:tcW w:w="540" w:type="pct"/>
            <w:noWrap/>
            <w:vAlign w:val="center"/>
          </w:tcPr>
          <w:p w14:paraId="7103CDDF">
            <w:pPr>
              <w:spacing w:line="360" w:lineRule="auto"/>
              <w:jc w:val="center"/>
              <w:rPr>
                <w:rFonts w:ascii="宋体" w:hAnsi="宋体" w:cs="宋体"/>
                <w:color w:val="000000"/>
                <w:kern w:val="0"/>
                <w:szCs w:val="21"/>
              </w:rPr>
            </w:pPr>
          </w:p>
        </w:tc>
        <w:tc>
          <w:tcPr>
            <w:tcW w:w="535" w:type="pct"/>
            <w:noWrap/>
            <w:vAlign w:val="center"/>
          </w:tcPr>
          <w:p w14:paraId="2F37378F">
            <w:pPr>
              <w:spacing w:line="360" w:lineRule="auto"/>
              <w:jc w:val="center"/>
              <w:rPr>
                <w:rFonts w:ascii="宋体" w:hAnsi="宋体" w:cs="宋体"/>
                <w:color w:val="000000"/>
                <w:kern w:val="0"/>
                <w:szCs w:val="21"/>
              </w:rPr>
            </w:pPr>
          </w:p>
        </w:tc>
      </w:tr>
      <w:tr w14:paraId="2348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pct"/>
            <w:tcBorders>
              <w:right w:val="single" w:color="auto" w:sz="4" w:space="0"/>
            </w:tcBorders>
            <w:shd w:val="clear" w:color="auto" w:fill="auto"/>
            <w:noWrap/>
            <w:vAlign w:val="center"/>
          </w:tcPr>
          <w:p w14:paraId="4DCA0C58">
            <w:pPr>
              <w:jc w:val="center"/>
              <w:rPr>
                <w:rFonts w:ascii="宋体" w:hAnsi="宋体" w:cs="宋体"/>
                <w:b/>
                <w:bCs/>
                <w:color w:val="000000"/>
                <w:kern w:val="0"/>
                <w:szCs w:val="21"/>
              </w:rPr>
            </w:pPr>
            <w:r>
              <w:rPr>
                <w:rFonts w:hint="eastAsia" w:ascii="宋体" w:hAnsi="宋体" w:cs="宋体"/>
                <w:b/>
                <w:bCs/>
                <w:color w:val="000000"/>
                <w:kern w:val="0"/>
                <w:szCs w:val="21"/>
              </w:rPr>
              <w:t>车型</w:t>
            </w:r>
          </w:p>
        </w:tc>
        <w:tc>
          <w:tcPr>
            <w:tcW w:w="823" w:type="pct"/>
            <w:shd w:val="clear" w:color="auto" w:fill="auto"/>
            <w:noWrap/>
            <w:vAlign w:val="center"/>
          </w:tcPr>
          <w:p w14:paraId="4B25C7BB">
            <w:pPr>
              <w:jc w:val="center"/>
              <w:rPr>
                <w:rFonts w:ascii="宋体" w:hAnsi="宋体" w:cs="宋体"/>
                <w:b/>
                <w:bCs/>
                <w:color w:val="000000"/>
                <w:kern w:val="0"/>
                <w:szCs w:val="21"/>
              </w:rPr>
            </w:pPr>
            <w:r>
              <w:rPr>
                <w:rFonts w:hint="eastAsia" w:ascii="宋体" w:hAnsi="宋体" w:cs="宋体"/>
                <w:b/>
                <w:bCs/>
                <w:color w:val="000000"/>
                <w:kern w:val="0"/>
                <w:szCs w:val="21"/>
              </w:rPr>
              <w:t>米</w:t>
            </w:r>
          </w:p>
        </w:tc>
        <w:tc>
          <w:tcPr>
            <w:tcW w:w="540" w:type="pct"/>
            <w:noWrap/>
            <w:vAlign w:val="center"/>
          </w:tcPr>
          <w:p w14:paraId="69EAA3C0">
            <w:pPr>
              <w:spacing w:line="360" w:lineRule="auto"/>
              <w:jc w:val="center"/>
              <w:rPr>
                <w:rFonts w:ascii="宋体" w:hAnsi="宋体" w:cs="宋体"/>
                <w:color w:val="000000"/>
                <w:kern w:val="0"/>
                <w:szCs w:val="21"/>
              </w:rPr>
            </w:pPr>
          </w:p>
        </w:tc>
        <w:tc>
          <w:tcPr>
            <w:tcW w:w="578" w:type="pct"/>
            <w:noWrap/>
            <w:vAlign w:val="center"/>
          </w:tcPr>
          <w:p w14:paraId="011FBDC2">
            <w:pPr>
              <w:spacing w:line="360" w:lineRule="auto"/>
              <w:jc w:val="center"/>
              <w:rPr>
                <w:rFonts w:ascii="宋体" w:hAnsi="宋体" w:cs="宋体"/>
                <w:color w:val="000000"/>
                <w:kern w:val="0"/>
                <w:szCs w:val="21"/>
              </w:rPr>
            </w:pPr>
          </w:p>
        </w:tc>
        <w:tc>
          <w:tcPr>
            <w:tcW w:w="584" w:type="pct"/>
            <w:noWrap/>
            <w:vAlign w:val="center"/>
          </w:tcPr>
          <w:p w14:paraId="09F2A0FD">
            <w:pPr>
              <w:spacing w:line="360" w:lineRule="auto"/>
              <w:jc w:val="center"/>
              <w:rPr>
                <w:rFonts w:ascii="宋体" w:hAnsi="宋体" w:cs="宋体"/>
                <w:color w:val="000000"/>
                <w:kern w:val="0"/>
                <w:szCs w:val="21"/>
              </w:rPr>
            </w:pPr>
          </w:p>
        </w:tc>
        <w:tc>
          <w:tcPr>
            <w:tcW w:w="616" w:type="pct"/>
            <w:noWrap/>
            <w:vAlign w:val="center"/>
          </w:tcPr>
          <w:p w14:paraId="2798D15E">
            <w:pPr>
              <w:spacing w:line="360" w:lineRule="auto"/>
              <w:jc w:val="center"/>
              <w:rPr>
                <w:rFonts w:ascii="宋体" w:hAnsi="宋体" w:cs="宋体"/>
                <w:color w:val="000000"/>
                <w:kern w:val="0"/>
                <w:szCs w:val="21"/>
              </w:rPr>
            </w:pPr>
          </w:p>
        </w:tc>
        <w:tc>
          <w:tcPr>
            <w:tcW w:w="540" w:type="pct"/>
            <w:noWrap/>
            <w:vAlign w:val="center"/>
          </w:tcPr>
          <w:p w14:paraId="15BBA34E">
            <w:pPr>
              <w:spacing w:line="360" w:lineRule="auto"/>
              <w:jc w:val="center"/>
              <w:rPr>
                <w:rFonts w:ascii="宋体" w:hAnsi="宋体" w:cs="宋体"/>
                <w:color w:val="000000"/>
                <w:kern w:val="0"/>
                <w:szCs w:val="21"/>
              </w:rPr>
            </w:pPr>
          </w:p>
        </w:tc>
        <w:tc>
          <w:tcPr>
            <w:tcW w:w="535" w:type="pct"/>
            <w:noWrap/>
            <w:vAlign w:val="center"/>
          </w:tcPr>
          <w:p w14:paraId="4D867F28">
            <w:pPr>
              <w:spacing w:line="360" w:lineRule="auto"/>
              <w:jc w:val="center"/>
              <w:rPr>
                <w:rFonts w:ascii="宋体" w:hAnsi="宋体" w:cs="宋体"/>
                <w:color w:val="000000"/>
                <w:kern w:val="0"/>
                <w:szCs w:val="21"/>
              </w:rPr>
            </w:pPr>
          </w:p>
        </w:tc>
      </w:tr>
      <w:tr w14:paraId="096C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ign w:val="center"/>
          </w:tcPr>
          <w:p w14:paraId="0AC5A941">
            <w:pPr>
              <w:jc w:val="left"/>
              <w:rPr>
                <w:rFonts w:ascii="宋体" w:hAnsi="宋体" w:cs="宋体"/>
                <w:color w:val="000000"/>
                <w:kern w:val="0"/>
                <w:szCs w:val="21"/>
              </w:rPr>
            </w:pPr>
            <w:r>
              <w:rPr>
                <w:rFonts w:hint="eastAsia" w:ascii="宋体" w:hAnsi="宋体" w:cs="宋体"/>
                <w:color w:val="000000"/>
                <w:kern w:val="0"/>
                <w:szCs w:val="21"/>
              </w:rPr>
              <w:t>备注：</w:t>
            </w:r>
          </w:p>
          <w:p w14:paraId="31655502">
            <w:pPr>
              <w:jc w:val="left"/>
              <w:rPr>
                <w:rFonts w:ascii="宋体" w:hAnsi="宋体" w:cs="宋体"/>
                <w:color w:val="000000"/>
                <w:kern w:val="0"/>
                <w:szCs w:val="21"/>
              </w:rPr>
            </w:pPr>
            <w:r>
              <w:rPr>
                <w:rFonts w:hint="eastAsia" w:ascii="宋体" w:hAnsi="宋体" w:eastAsia="宋体" w:cs="宋体"/>
                <w:color w:val="000000"/>
                <w:kern w:val="0"/>
                <w:szCs w:val="21"/>
              </w:rPr>
              <w:t>①</w:t>
            </w:r>
            <w:r>
              <w:rPr>
                <w:rFonts w:hint="eastAsia" w:ascii="宋体" w:hAnsi="宋体" w:cs="宋体"/>
                <w:color w:val="000000"/>
                <w:kern w:val="0"/>
                <w:szCs w:val="21"/>
              </w:rPr>
              <w:t>上述运输地点：广柴股份本部的地址为：广州市芳村大道东73号；南沙大岗基地的地址为：广州市南沙区大岗镇谭新公路362号。</w:t>
            </w:r>
          </w:p>
          <w:p w14:paraId="7D8F7AD1">
            <w:pPr>
              <w:jc w:val="left"/>
              <w:rPr>
                <w:rFonts w:ascii="宋体" w:hAnsi="宋体" w:cs="宋体"/>
                <w:color w:val="000000"/>
                <w:kern w:val="0"/>
                <w:szCs w:val="21"/>
              </w:rPr>
            </w:pPr>
            <w:r>
              <w:rPr>
                <w:rFonts w:hint="eastAsia" w:ascii="宋体" w:hAnsi="宋体" w:eastAsia="宋体" w:cs="宋体"/>
                <w:color w:val="000000"/>
                <w:kern w:val="0"/>
                <w:szCs w:val="21"/>
              </w:rPr>
              <w:t>②</w:t>
            </w:r>
            <w:r>
              <w:rPr>
                <w:rFonts w:hint="eastAsia" w:ascii="宋体" w:hAnsi="宋体" w:cs="宋体"/>
                <w:color w:val="000000"/>
                <w:kern w:val="0"/>
                <w:szCs w:val="21"/>
              </w:rPr>
              <w:t>货物在装、卸车过程中的起吊由广柴股份负责；运输单位负责确定货物在车上的摆放、固定、用帆布袋的遮盖及帆布袋的固定等。</w:t>
            </w:r>
          </w:p>
          <w:p w14:paraId="319203F0">
            <w:pPr>
              <w:jc w:val="left"/>
              <w:rPr>
                <w:rFonts w:ascii="宋体" w:hAnsi="宋体" w:cs="宋体"/>
                <w:color w:val="000000"/>
                <w:kern w:val="0"/>
                <w:szCs w:val="21"/>
              </w:rPr>
            </w:pPr>
            <w:r>
              <w:rPr>
                <w:rFonts w:hint="eastAsia" w:ascii="宋体" w:hAnsi="宋体" w:eastAsia="宋体" w:cs="宋体"/>
                <w:color w:val="000000"/>
                <w:kern w:val="0"/>
                <w:szCs w:val="21"/>
              </w:rPr>
              <w:t>③</w:t>
            </w:r>
            <w:r>
              <w:rPr>
                <w:rFonts w:hint="eastAsia" w:ascii="宋体" w:hAnsi="宋体" w:cs="宋体"/>
                <w:color w:val="000000"/>
                <w:kern w:val="0"/>
                <w:szCs w:val="21"/>
              </w:rPr>
              <w:t>上述运输总价须含税、含保险、含路桥费、含提货费等一切费用。</w:t>
            </w:r>
          </w:p>
          <w:p w14:paraId="06742ED1">
            <w:pPr>
              <w:jc w:val="left"/>
              <w:rPr>
                <w:rFonts w:ascii="宋体" w:hAnsi="宋体" w:cs="宋体"/>
                <w:color w:val="000000"/>
                <w:kern w:val="0"/>
                <w:szCs w:val="21"/>
              </w:rPr>
            </w:pPr>
            <w:r>
              <w:rPr>
                <w:rFonts w:hint="eastAsia" w:ascii="宋体" w:hAnsi="宋体" w:cs="宋体"/>
                <w:color w:val="000000"/>
                <w:kern w:val="0"/>
                <w:szCs w:val="21"/>
              </w:rPr>
              <w:t>④乙方须1天内运抵甲方指定地点。</w:t>
            </w:r>
          </w:p>
          <w:p w14:paraId="4BA5381F">
            <w:pPr>
              <w:jc w:val="left"/>
              <w:rPr>
                <w:rFonts w:ascii="宋体" w:hAnsi="宋体" w:cs="宋体"/>
                <w:color w:val="000000"/>
                <w:kern w:val="0"/>
                <w:szCs w:val="21"/>
              </w:rPr>
            </w:pPr>
            <w:r>
              <w:rPr>
                <w:rFonts w:hint="eastAsia" w:ascii="宋体" w:hAnsi="宋体" w:cs="宋体"/>
                <w:color w:val="000000"/>
                <w:kern w:val="0"/>
                <w:szCs w:val="21"/>
              </w:rPr>
              <w:t>⑤本表运输价格自合同签订起有效期为1年。</w:t>
            </w:r>
          </w:p>
        </w:tc>
      </w:tr>
    </w:tbl>
    <w:p w14:paraId="2D13BDEA">
      <w:pPr>
        <w:spacing w:line="360" w:lineRule="auto"/>
        <w:ind w:firstLine="480" w:firstLineChars="200"/>
        <w:rPr>
          <w:rFonts w:ascii="宋体" w:hAnsi="宋体" w:eastAsia="宋体" w:cs="宋体"/>
          <w:b/>
          <w:bCs/>
          <w:color w:val="000000"/>
          <w:kern w:val="0"/>
          <w:sz w:val="24"/>
          <w:szCs w:val="24"/>
        </w:rPr>
      </w:pPr>
      <w:r>
        <w:rPr>
          <w:rFonts w:hint="eastAsia"/>
          <w:sz w:val="24"/>
          <w:szCs w:val="24"/>
        </w:rPr>
        <w:t>1.1.2</w:t>
      </w:r>
      <w:r>
        <w:rPr>
          <w:rFonts w:hint="eastAsia" w:ascii="宋体" w:hAnsi="宋体" w:eastAsia="宋体" w:cs="宋体"/>
          <w:b/>
          <w:bCs/>
          <w:color w:val="000000"/>
          <w:kern w:val="0"/>
          <w:sz w:val="24"/>
          <w:szCs w:val="24"/>
        </w:rPr>
        <w:t>生产类零/部件运输报价表</w:t>
      </w:r>
    </w:p>
    <w:tbl>
      <w:tblPr>
        <w:tblStyle w:val="9"/>
        <w:tblW w:w="5472" w:type="pct"/>
        <w:tblInd w:w="0" w:type="dxa"/>
        <w:tblLayout w:type="fixed"/>
        <w:tblCellMar>
          <w:top w:w="0" w:type="dxa"/>
          <w:left w:w="108" w:type="dxa"/>
          <w:bottom w:w="0" w:type="dxa"/>
          <w:right w:w="108" w:type="dxa"/>
        </w:tblCellMar>
      </w:tblPr>
      <w:tblGrid>
        <w:gridCol w:w="1769"/>
        <w:gridCol w:w="953"/>
        <w:gridCol w:w="599"/>
        <w:gridCol w:w="759"/>
        <w:gridCol w:w="856"/>
        <w:gridCol w:w="940"/>
        <w:gridCol w:w="933"/>
        <w:gridCol w:w="961"/>
        <w:gridCol w:w="834"/>
        <w:gridCol w:w="722"/>
      </w:tblGrid>
      <w:tr w14:paraId="093F16B6">
        <w:tblPrEx>
          <w:tblCellMar>
            <w:top w:w="0" w:type="dxa"/>
            <w:left w:w="108" w:type="dxa"/>
            <w:bottom w:w="0" w:type="dxa"/>
            <w:right w:w="108" w:type="dxa"/>
          </w:tblCellMar>
        </w:tblPrEx>
        <w:trPr>
          <w:trHeight w:val="540" w:hRule="atLeast"/>
        </w:trPr>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B986F">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运输起讫点</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6C55">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货物重量（KG）</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B5FFC">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1-1000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C05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1001-</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5000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6C2B">
            <w:pPr>
              <w:widowControl/>
              <w:jc w:val="center"/>
              <w:textAlignment w:val="center"/>
              <w:rPr>
                <w:rFonts w:ascii="宋体" w:hAnsi="宋体" w:eastAsia="宋体" w:cs="宋体"/>
                <w:b/>
                <w:bCs/>
                <w:color w:val="000000"/>
                <w:kern w:val="0"/>
                <w:szCs w:val="21"/>
              </w:rPr>
            </w:pPr>
            <w:r>
              <w:rPr>
                <w:rFonts w:hint="eastAsia" w:ascii="宋体" w:hAnsi="宋体" w:eastAsia="宋体" w:cs="宋体"/>
                <w:b/>
                <w:bCs/>
                <w:color w:val="000000"/>
                <w:kern w:val="0"/>
                <w:szCs w:val="21"/>
              </w:rPr>
              <w:t xml:space="preserve"> 5001-</w:t>
            </w:r>
          </w:p>
          <w:p w14:paraId="0001B0C9">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10000</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4571">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10001-</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20000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7A1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20001-</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26000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C203">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26000-</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30000</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C1C3">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30001以上</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2914">
            <w:pPr>
              <w:widowControl/>
              <w:jc w:val="center"/>
              <w:textAlignment w:val="center"/>
              <w:rPr>
                <w:rFonts w:ascii="宋体" w:hAnsi="宋体" w:eastAsia="宋体" w:cs="宋体"/>
                <w:b/>
                <w:bCs/>
                <w:color w:val="000000"/>
                <w:kern w:val="0"/>
                <w:szCs w:val="21"/>
              </w:rPr>
            </w:pPr>
            <w:r>
              <w:rPr>
                <w:rFonts w:hint="eastAsia" w:ascii="宋体" w:hAnsi="宋体" w:eastAsia="宋体" w:cs="宋体"/>
                <w:b/>
                <w:bCs/>
                <w:color w:val="000000"/>
                <w:kern w:val="0"/>
                <w:szCs w:val="21"/>
              </w:rPr>
              <w:t>备注</w:t>
            </w:r>
          </w:p>
        </w:tc>
      </w:tr>
      <w:tr w14:paraId="1CC33B63">
        <w:tblPrEx>
          <w:tblCellMar>
            <w:top w:w="0" w:type="dxa"/>
            <w:left w:w="108" w:type="dxa"/>
            <w:bottom w:w="0" w:type="dxa"/>
            <w:right w:w="108" w:type="dxa"/>
          </w:tblCellMar>
        </w:tblPrEx>
        <w:trPr>
          <w:trHeight w:val="570" w:hRule="atLeast"/>
        </w:trPr>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92F3">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广柴股份本部——靖江分公司</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3A5B">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单价：元/公斤</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E60D">
            <w:pPr>
              <w:widowControl/>
              <w:jc w:val="center"/>
              <w:textAlignment w:val="center"/>
              <w:rPr>
                <w:rFonts w:ascii="宋体" w:hAnsi="宋体" w:eastAsia="宋体" w:cs="宋体"/>
                <w:color w:val="000000"/>
                <w:szCs w:val="21"/>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98E1">
            <w:pPr>
              <w:jc w:val="center"/>
              <w:rPr>
                <w:rFonts w:ascii="宋体" w:hAnsi="宋体" w:eastAsia="宋体" w:cs="宋体"/>
                <w:color w:val="000000"/>
                <w:szCs w:val="21"/>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E106">
            <w:pPr>
              <w:jc w:val="center"/>
              <w:rPr>
                <w:rFonts w:ascii="宋体" w:hAnsi="宋体" w:eastAsia="宋体" w:cs="宋体"/>
                <w:color w:val="000000"/>
                <w:szCs w:val="21"/>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DC552">
            <w:pPr>
              <w:jc w:val="center"/>
              <w:rPr>
                <w:rFonts w:ascii="宋体" w:hAnsi="宋体" w:eastAsia="宋体" w:cs="宋体"/>
                <w:color w:val="000000"/>
                <w:szCs w:val="21"/>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F98C">
            <w:pPr>
              <w:jc w:val="center"/>
              <w:rPr>
                <w:rFonts w:ascii="宋体" w:hAnsi="宋体" w:eastAsia="宋体" w:cs="宋体"/>
                <w:color w:val="000000"/>
                <w:szCs w:val="21"/>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4629">
            <w:pPr>
              <w:jc w:val="center"/>
              <w:rPr>
                <w:rFonts w:ascii="宋体" w:hAnsi="宋体" w:eastAsia="宋体" w:cs="宋体"/>
                <w:color w:val="000000"/>
                <w:szCs w:val="21"/>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A2B4">
            <w:pPr>
              <w:jc w:val="center"/>
              <w:rPr>
                <w:rFonts w:ascii="宋体" w:hAnsi="宋体" w:eastAsia="宋体" w:cs="宋体"/>
                <w:color w:val="000000"/>
                <w:szCs w:val="21"/>
              </w:rPr>
            </w:pPr>
          </w:p>
        </w:tc>
        <w:tc>
          <w:tcPr>
            <w:tcW w:w="387" w:type="pct"/>
            <w:vMerge w:val="restart"/>
            <w:tcBorders>
              <w:top w:val="single" w:color="000000" w:sz="4" w:space="0"/>
              <w:left w:val="single" w:color="000000" w:sz="4" w:space="0"/>
              <w:right w:val="single" w:color="000000" w:sz="4" w:space="0"/>
            </w:tcBorders>
            <w:shd w:val="clear" w:color="auto" w:fill="auto"/>
            <w:noWrap/>
            <w:vAlign w:val="center"/>
          </w:tcPr>
          <w:p w14:paraId="6F8FAB4F">
            <w:pPr>
              <w:jc w:val="center"/>
              <w:rPr>
                <w:rFonts w:ascii="宋体" w:hAnsi="宋体" w:eastAsia="宋体" w:cs="宋体"/>
                <w:color w:val="000000"/>
                <w:szCs w:val="21"/>
              </w:rPr>
            </w:pPr>
            <w:r>
              <w:rPr>
                <w:rFonts w:hint="eastAsia" w:ascii="宋体" w:hAnsi="宋体" w:eastAsia="宋体" w:cs="宋体"/>
                <w:color w:val="000000"/>
                <w:szCs w:val="21"/>
              </w:rPr>
              <w:t>长途运输</w:t>
            </w:r>
          </w:p>
        </w:tc>
      </w:tr>
      <w:tr w14:paraId="70282A7A">
        <w:tblPrEx>
          <w:tblCellMar>
            <w:top w:w="0" w:type="dxa"/>
            <w:left w:w="108" w:type="dxa"/>
            <w:bottom w:w="0" w:type="dxa"/>
            <w:right w:w="108" w:type="dxa"/>
          </w:tblCellMar>
        </w:tblPrEx>
        <w:trPr>
          <w:trHeight w:val="570" w:hRule="atLeast"/>
        </w:trPr>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CB37">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靖江分公司——广柴股份本部</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DDDCD">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rPr>
              <w:t>单价：元/公斤</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5343">
            <w:pPr>
              <w:jc w:val="center"/>
              <w:rPr>
                <w:rFonts w:ascii="宋体" w:hAnsi="宋体" w:eastAsia="宋体" w:cs="宋体"/>
                <w:color w:val="000000"/>
                <w:szCs w:val="21"/>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8644">
            <w:pPr>
              <w:jc w:val="center"/>
              <w:rPr>
                <w:rFonts w:ascii="宋体" w:hAnsi="宋体" w:eastAsia="宋体" w:cs="宋体"/>
                <w:color w:val="000000"/>
                <w:szCs w:val="21"/>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77FD">
            <w:pPr>
              <w:jc w:val="center"/>
              <w:rPr>
                <w:rFonts w:ascii="宋体" w:hAnsi="宋体" w:eastAsia="宋体" w:cs="宋体"/>
                <w:color w:val="000000"/>
                <w:szCs w:val="21"/>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F624">
            <w:pPr>
              <w:jc w:val="center"/>
              <w:rPr>
                <w:rFonts w:ascii="宋体" w:hAnsi="宋体" w:eastAsia="宋体" w:cs="宋体"/>
                <w:color w:val="000000"/>
                <w:szCs w:val="21"/>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AB9F">
            <w:pPr>
              <w:jc w:val="center"/>
              <w:rPr>
                <w:rFonts w:ascii="宋体" w:hAnsi="宋体" w:eastAsia="宋体" w:cs="宋体"/>
                <w:color w:val="000000"/>
                <w:szCs w:val="21"/>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89ACC">
            <w:pPr>
              <w:jc w:val="center"/>
              <w:rPr>
                <w:rFonts w:ascii="宋体" w:hAnsi="宋体" w:eastAsia="宋体" w:cs="宋体"/>
                <w:color w:val="000000"/>
                <w:szCs w:val="21"/>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FF773">
            <w:pPr>
              <w:jc w:val="center"/>
              <w:rPr>
                <w:rFonts w:ascii="宋体" w:hAnsi="宋体" w:eastAsia="宋体" w:cs="宋体"/>
                <w:color w:val="000000"/>
                <w:szCs w:val="21"/>
              </w:rPr>
            </w:pPr>
          </w:p>
        </w:tc>
        <w:tc>
          <w:tcPr>
            <w:tcW w:w="387" w:type="pct"/>
            <w:vMerge w:val="continue"/>
            <w:tcBorders>
              <w:left w:val="single" w:color="000000" w:sz="4" w:space="0"/>
              <w:right w:val="single" w:color="000000" w:sz="4" w:space="0"/>
            </w:tcBorders>
            <w:shd w:val="clear" w:color="auto" w:fill="auto"/>
            <w:noWrap/>
            <w:vAlign w:val="center"/>
          </w:tcPr>
          <w:p w14:paraId="02AE88BE">
            <w:pPr>
              <w:jc w:val="center"/>
              <w:rPr>
                <w:rFonts w:ascii="宋体" w:hAnsi="宋体" w:eastAsia="宋体" w:cs="宋体"/>
                <w:color w:val="000000"/>
                <w:szCs w:val="21"/>
              </w:rPr>
            </w:pPr>
          </w:p>
        </w:tc>
      </w:tr>
      <w:tr w14:paraId="25EF2DFE">
        <w:tblPrEx>
          <w:tblCellMar>
            <w:top w:w="0" w:type="dxa"/>
            <w:left w:w="108" w:type="dxa"/>
            <w:bottom w:w="0" w:type="dxa"/>
            <w:right w:w="108" w:type="dxa"/>
          </w:tblCellMar>
        </w:tblPrEx>
        <w:trPr>
          <w:trHeight w:val="855" w:hRule="atLeast"/>
        </w:trPr>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0F62">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szCs w:val="21"/>
              </w:rPr>
              <w:t>车型</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C983B">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szCs w:val="21"/>
              </w:rPr>
              <w:t>米</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6385">
            <w:pPr>
              <w:jc w:val="center"/>
              <w:rPr>
                <w:rFonts w:ascii="宋体" w:hAnsi="宋体" w:eastAsia="宋体" w:cs="宋体"/>
                <w:color w:val="000000"/>
                <w:szCs w:val="21"/>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BE5E">
            <w:pPr>
              <w:jc w:val="center"/>
              <w:rPr>
                <w:rFonts w:ascii="宋体" w:hAnsi="宋体" w:eastAsia="宋体" w:cs="宋体"/>
                <w:color w:val="000000"/>
                <w:szCs w:val="21"/>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BCEF">
            <w:pPr>
              <w:jc w:val="center"/>
              <w:rPr>
                <w:rFonts w:ascii="宋体" w:hAnsi="宋体" w:eastAsia="宋体" w:cs="宋体"/>
                <w:color w:val="000000"/>
                <w:szCs w:val="21"/>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97A9">
            <w:pPr>
              <w:jc w:val="center"/>
              <w:rPr>
                <w:rFonts w:ascii="宋体" w:hAnsi="宋体" w:eastAsia="宋体" w:cs="宋体"/>
                <w:color w:val="000000"/>
                <w:szCs w:val="21"/>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CEDD">
            <w:pPr>
              <w:jc w:val="center"/>
              <w:rPr>
                <w:rFonts w:ascii="宋体" w:hAnsi="宋体" w:eastAsia="宋体" w:cs="宋体"/>
                <w:color w:val="000000"/>
                <w:szCs w:val="21"/>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C5FC0">
            <w:pPr>
              <w:jc w:val="center"/>
              <w:rPr>
                <w:rFonts w:ascii="宋体" w:hAnsi="宋体" w:eastAsia="宋体" w:cs="宋体"/>
                <w:color w:val="000000"/>
                <w:szCs w:val="21"/>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80D7">
            <w:pPr>
              <w:jc w:val="center"/>
              <w:rPr>
                <w:rFonts w:ascii="宋体" w:hAnsi="宋体" w:eastAsia="宋体" w:cs="宋体"/>
                <w:color w:val="000000"/>
                <w:szCs w:val="21"/>
              </w:rPr>
            </w:pPr>
          </w:p>
        </w:tc>
        <w:tc>
          <w:tcPr>
            <w:tcW w:w="387" w:type="pct"/>
            <w:vMerge w:val="continue"/>
            <w:tcBorders>
              <w:left w:val="single" w:color="000000" w:sz="4" w:space="0"/>
              <w:bottom w:val="single" w:color="000000" w:sz="4" w:space="0"/>
              <w:right w:val="single" w:color="000000" w:sz="4" w:space="0"/>
            </w:tcBorders>
            <w:shd w:val="clear" w:color="auto" w:fill="auto"/>
            <w:noWrap/>
            <w:vAlign w:val="center"/>
          </w:tcPr>
          <w:p w14:paraId="743FE2E5">
            <w:pPr>
              <w:jc w:val="center"/>
              <w:rPr>
                <w:rFonts w:ascii="宋体" w:hAnsi="宋体" w:eastAsia="宋体" w:cs="宋体"/>
                <w:color w:val="000000"/>
                <w:szCs w:val="21"/>
              </w:rPr>
            </w:pPr>
          </w:p>
        </w:tc>
      </w:tr>
      <w:tr w14:paraId="7D7562A2">
        <w:tblPrEx>
          <w:tblCellMar>
            <w:top w:w="0" w:type="dxa"/>
            <w:left w:w="108" w:type="dxa"/>
            <w:bottom w:w="0" w:type="dxa"/>
            <w:right w:w="108" w:type="dxa"/>
          </w:tblCellMar>
        </w:tblPrEx>
        <w:trPr>
          <w:trHeight w:val="2080" w:hRule="atLeast"/>
        </w:trPr>
        <w:tc>
          <w:tcPr>
            <w:tcW w:w="4612" w:type="pct"/>
            <w:gridSpan w:val="9"/>
            <w:tcBorders>
              <w:top w:val="nil"/>
              <w:left w:val="nil"/>
              <w:bottom w:val="nil"/>
              <w:right w:val="nil"/>
            </w:tcBorders>
            <w:shd w:val="clear" w:color="auto" w:fill="auto"/>
            <w:vAlign w:val="center"/>
          </w:tcPr>
          <w:p w14:paraId="2F8A4E7C">
            <w:pPr>
              <w:jc w:val="left"/>
              <w:rPr>
                <w:rFonts w:ascii="宋体" w:hAnsi="宋体" w:cs="宋体"/>
                <w:color w:val="000000"/>
                <w:kern w:val="0"/>
                <w:szCs w:val="21"/>
              </w:rPr>
            </w:pPr>
            <w:r>
              <w:rPr>
                <w:rFonts w:hint="eastAsia" w:ascii="宋体" w:hAnsi="宋体" w:cs="宋体"/>
                <w:color w:val="000000"/>
                <w:kern w:val="0"/>
                <w:szCs w:val="21"/>
              </w:rPr>
              <w:t>备注：</w:t>
            </w:r>
            <w:r>
              <w:rPr>
                <w:rFonts w:hint="eastAsia" w:ascii="宋体" w:hAnsi="宋体" w:cs="宋体"/>
                <w:color w:val="000000"/>
                <w:kern w:val="0"/>
                <w:szCs w:val="21"/>
              </w:rPr>
              <w:br w:type="textWrapping"/>
            </w:r>
            <w:r>
              <w:rPr>
                <w:rFonts w:hint="eastAsia" w:ascii="宋体" w:hAnsi="宋体" w:cs="宋体"/>
                <w:color w:val="000000"/>
                <w:kern w:val="0"/>
                <w:szCs w:val="21"/>
              </w:rPr>
              <w:t>①上述运输地点：广柴股份本部的地址为：广州市芳村大道东73号；靖江分公司的地址为：江苏省泰州市靖江市经济开发区六助港路9号。</w:t>
            </w:r>
            <w:r>
              <w:rPr>
                <w:rFonts w:hint="eastAsia" w:ascii="宋体" w:hAnsi="宋体" w:cs="宋体"/>
                <w:color w:val="000000"/>
                <w:kern w:val="0"/>
                <w:szCs w:val="21"/>
              </w:rPr>
              <w:br w:type="textWrapping"/>
            </w:r>
            <w:r>
              <w:rPr>
                <w:rFonts w:hint="eastAsia" w:ascii="宋体" w:hAnsi="宋体" w:cs="宋体"/>
                <w:color w:val="000000"/>
                <w:kern w:val="0"/>
                <w:szCs w:val="21"/>
              </w:rPr>
              <w:t xml:space="preserve">②单车货物实际产生的运输费用=单车货物总重（公斤）×单价（元/公斤），实际运输费用须含税、含保险、含路桥费、含提货费等一切费用。 </w:t>
            </w:r>
            <w:r>
              <w:rPr>
                <w:rFonts w:hint="eastAsia" w:ascii="宋体" w:hAnsi="宋体" w:cs="宋体"/>
                <w:color w:val="000000"/>
                <w:kern w:val="0"/>
                <w:szCs w:val="21"/>
              </w:rPr>
              <w:br w:type="textWrapping"/>
            </w:r>
            <w:r>
              <w:rPr>
                <w:rFonts w:hint="eastAsia" w:ascii="宋体" w:hAnsi="宋体" w:cs="宋体"/>
                <w:color w:val="000000"/>
                <w:kern w:val="0"/>
                <w:szCs w:val="21"/>
              </w:rPr>
              <w:t>③货物在装、卸车过程的起吊由广柴股份负责；运输单位负责确定货物的摆放、货物在车上的固定及遮盖等。</w:t>
            </w:r>
          </w:p>
          <w:p w14:paraId="39206BCC">
            <w:pPr>
              <w:jc w:val="left"/>
              <w:rPr>
                <w:rFonts w:ascii="宋体" w:hAnsi="宋体" w:eastAsia="宋体" w:cs="宋体"/>
                <w:color w:val="000000"/>
                <w:sz w:val="24"/>
                <w:szCs w:val="24"/>
              </w:rPr>
            </w:pPr>
            <w:r>
              <w:rPr>
                <w:rFonts w:hint="eastAsia" w:ascii="宋体" w:hAnsi="宋体" w:cs="宋体"/>
                <w:color w:val="000000"/>
                <w:kern w:val="0"/>
                <w:szCs w:val="21"/>
              </w:rPr>
              <w:t>④乙方须4天内运抵甲方指定地点。</w:t>
            </w:r>
            <w:r>
              <w:rPr>
                <w:rFonts w:hint="eastAsia" w:ascii="宋体" w:hAnsi="宋体" w:cs="宋体"/>
                <w:color w:val="000000"/>
                <w:kern w:val="0"/>
                <w:szCs w:val="21"/>
              </w:rPr>
              <w:br w:type="textWrapping"/>
            </w:r>
            <w:r>
              <w:rPr>
                <w:rFonts w:hint="eastAsia" w:ascii="宋体" w:hAnsi="宋体" w:cs="宋体"/>
                <w:color w:val="000000"/>
                <w:kern w:val="0"/>
                <w:szCs w:val="21"/>
              </w:rPr>
              <w:t>⑤本表运输价格自合同签订起有效期为1年。</w:t>
            </w:r>
          </w:p>
        </w:tc>
        <w:tc>
          <w:tcPr>
            <w:tcW w:w="387" w:type="pct"/>
            <w:tcBorders>
              <w:top w:val="nil"/>
              <w:left w:val="nil"/>
              <w:bottom w:val="nil"/>
              <w:right w:val="nil"/>
            </w:tcBorders>
            <w:shd w:val="clear" w:color="auto" w:fill="auto"/>
            <w:vAlign w:val="center"/>
          </w:tcPr>
          <w:p w14:paraId="6B5F7B18">
            <w:pPr>
              <w:spacing w:line="360" w:lineRule="auto"/>
              <w:jc w:val="left"/>
              <w:rPr>
                <w:rFonts w:ascii="宋体" w:hAnsi="宋体" w:cs="宋体"/>
                <w:color w:val="000000"/>
                <w:kern w:val="0"/>
                <w:szCs w:val="21"/>
              </w:rPr>
            </w:pPr>
          </w:p>
        </w:tc>
      </w:tr>
    </w:tbl>
    <w:p w14:paraId="5C6DCCBE">
      <w:pPr>
        <w:spacing w:line="360" w:lineRule="auto"/>
        <w:ind w:firstLine="480" w:firstLineChars="200"/>
        <w:rPr>
          <w:sz w:val="24"/>
        </w:rPr>
      </w:pPr>
    </w:p>
    <w:tbl>
      <w:tblPr>
        <w:tblStyle w:val="9"/>
        <w:tblW w:w="4998" w:type="pct"/>
        <w:tblInd w:w="0" w:type="dxa"/>
        <w:tblLayout w:type="autofit"/>
        <w:tblCellMar>
          <w:top w:w="0" w:type="dxa"/>
          <w:left w:w="108" w:type="dxa"/>
          <w:bottom w:w="0" w:type="dxa"/>
          <w:right w:w="108" w:type="dxa"/>
        </w:tblCellMar>
      </w:tblPr>
      <w:tblGrid>
        <w:gridCol w:w="1435"/>
        <w:gridCol w:w="1314"/>
        <w:gridCol w:w="1149"/>
        <w:gridCol w:w="1147"/>
        <w:gridCol w:w="1147"/>
        <w:gridCol w:w="1150"/>
        <w:gridCol w:w="1177"/>
      </w:tblGrid>
      <w:tr w14:paraId="48320D88">
        <w:tblPrEx>
          <w:tblCellMar>
            <w:top w:w="0" w:type="dxa"/>
            <w:left w:w="108" w:type="dxa"/>
            <w:bottom w:w="0" w:type="dxa"/>
            <w:right w:w="108" w:type="dxa"/>
          </w:tblCellMar>
        </w:tblPrEx>
        <w:trPr>
          <w:trHeight w:val="54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D0107">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运输起讫点</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B99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货物重量（KG）</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323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1-2000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D35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2001-</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8000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627F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 xml:space="preserve"> 8001- 15000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81D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15001-</w:t>
            </w:r>
            <w:r>
              <w:rPr>
                <w:rFonts w:hint="eastAsia" w:ascii="宋体" w:hAnsi="宋体" w:eastAsia="宋体" w:cs="宋体"/>
                <w:b/>
                <w:bCs/>
                <w:color w:val="000000"/>
                <w:kern w:val="0"/>
                <w:sz w:val="22"/>
              </w:rPr>
              <w:br w:type="textWrapping"/>
            </w:r>
            <w:r>
              <w:rPr>
                <w:rFonts w:hint="eastAsia" w:ascii="宋体" w:hAnsi="宋体" w:eastAsia="宋体" w:cs="宋体"/>
                <w:b/>
                <w:bCs/>
                <w:color w:val="000000"/>
                <w:kern w:val="0"/>
                <w:sz w:val="22"/>
              </w:rPr>
              <w:t>32000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0F9F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备注</w:t>
            </w:r>
          </w:p>
        </w:tc>
      </w:tr>
      <w:tr w14:paraId="4E16B4AA">
        <w:tblPrEx>
          <w:tblCellMar>
            <w:top w:w="0" w:type="dxa"/>
            <w:left w:w="108" w:type="dxa"/>
            <w:bottom w:w="0" w:type="dxa"/>
            <w:right w:w="108" w:type="dxa"/>
          </w:tblCellMar>
        </w:tblPrEx>
        <w:trPr>
          <w:trHeight w:val="68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D005">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广柴股份本部——南沙大岗基地</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15A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运输价格：元/车</w:t>
            </w:r>
          </w:p>
        </w:tc>
        <w:tc>
          <w:tcPr>
            <w:tcW w:w="707" w:type="pct"/>
            <w:tcBorders>
              <w:top w:val="single" w:color="000000" w:sz="4" w:space="0"/>
              <w:left w:val="single" w:color="000000" w:sz="4" w:space="0"/>
              <w:bottom w:val="nil"/>
              <w:right w:val="single" w:color="000000" w:sz="4" w:space="0"/>
            </w:tcBorders>
            <w:shd w:val="clear" w:color="auto" w:fill="auto"/>
            <w:noWrap/>
            <w:vAlign w:val="center"/>
          </w:tcPr>
          <w:p w14:paraId="7B6636D8">
            <w:pPr>
              <w:jc w:val="center"/>
              <w:rPr>
                <w:rFonts w:ascii="宋体" w:hAnsi="宋体" w:eastAsia="宋体" w:cs="宋体"/>
                <w:color w:val="000000"/>
                <w:sz w:val="20"/>
                <w:szCs w:val="20"/>
              </w:rPr>
            </w:pPr>
          </w:p>
        </w:tc>
        <w:tc>
          <w:tcPr>
            <w:tcW w:w="706" w:type="pct"/>
            <w:tcBorders>
              <w:top w:val="single" w:color="000000" w:sz="4" w:space="0"/>
              <w:left w:val="single" w:color="000000" w:sz="4" w:space="0"/>
              <w:bottom w:val="nil"/>
              <w:right w:val="single" w:color="000000" w:sz="4" w:space="0"/>
            </w:tcBorders>
            <w:shd w:val="clear" w:color="auto" w:fill="auto"/>
            <w:noWrap/>
            <w:vAlign w:val="center"/>
          </w:tcPr>
          <w:p w14:paraId="052BD97E">
            <w:pPr>
              <w:jc w:val="center"/>
              <w:rPr>
                <w:rFonts w:ascii="宋体" w:hAnsi="宋体" w:eastAsia="宋体" w:cs="宋体"/>
                <w:color w:val="000000"/>
                <w:sz w:val="20"/>
                <w:szCs w:val="20"/>
              </w:rPr>
            </w:pPr>
          </w:p>
        </w:tc>
        <w:tc>
          <w:tcPr>
            <w:tcW w:w="706" w:type="pct"/>
            <w:tcBorders>
              <w:top w:val="single" w:color="000000" w:sz="4" w:space="0"/>
              <w:left w:val="single" w:color="000000" w:sz="4" w:space="0"/>
              <w:bottom w:val="nil"/>
              <w:right w:val="single" w:color="000000" w:sz="4" w:space="0"/>
            </w:tcBorders>
            <w:shd w:val="clear" w:color="auto" w:fill="auto"/>
            <w:noWrap/>
            <w:vAlign w:val="center"/>
          </w:tcPr>
          <w:p w14:paraId="06D15DF7">
            <w:pPr>
              <w:jc w:val="center"/>
              <w:rPr>
                <w:rFonts w:ascii="宋体" w:hAnsi="宋体" w:eastAsia="宋体" w:cs="宋体"/>
                <w:color w:val="000000"/>
                <w:sz w:val="20"/>
                <w:szCs w:val="20"/>
              </w:rPr>
            </w:pPr>
          </w:p>
        </w:tc>
        <w:tc>
          <w:tcPr>
            <w:tcW w:w="707" w:type="pct"/>
            <w:tcBorders>
              <w:top w:val="single" w:color="000000" w:sz="4" w:space="0"/>
              <w:left w:val="single" w:color="000000" w:sz="4" w:space="0"/>
              <w:bottom w:val="nil"/>
              <w:right w:val="single" w:color="000000" w:sz="4" w:space="0"/>
            </w:tcBorders>
            <w:shd w:val="clear" w:color="auto" w:fill="auto"/>
            <w:noWrap/>
            <w:vAlign w:val="center"/>
          </w:tcPr>
          <w:p w14:paraId="03C734B5">
            <w:pPr>
              <w:jc w:val="center"/>
              <w:rPr>
                <w:rFonts w:ascii="宋体" w:hAnsi="宋体" w:eastAsia="宋体" w:cs="宋体"/>
                <w:color w:val="000000"/>
                <w:sz w:val="20"/>
                <w:szCs w:val="20"/>
              </w:rPr>
            </w:pP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2C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短途运输</w:t>
            </w:r>
          </w:p>
        </w:tc>
      </w:tr>
      <w:tr w14:paraId="485159CB">
        <w:tblPrEx>
          <w:tblCellMar>
            <w:top w:w="0" w:type="dxa"/>
            <w:left w:w="108" w:type="dxa"/>
            <w:bottom w:w="0" w:type="dxa"/>
            <w:right w:w="108" w:type="dxa"/>
          </w:tblCellMar>
        </w:tblPrEx>
        <w:trPr>
          <w:trHeight w:val="680" w:hRule="atLeast"/>
        </w:trPr>
        <w:tc>
          <w:tcPr>
            <w:tcW w:w="875" w:type="pct"/>
            <w:tcBorders>
              <w:top w:val="single" w:color="000000" w:sz="4" w:space="0"/>
              <w:left w:val="single" w:color="000000" w:sz="4" w:space="0"/>
              <w:bottom w:val="nil"/>
              <w:right w:val="single" w:color="000000" w:sz="4" w:space="0"/>
            </w:tcBorders>
            <w:shd w:val="clear" w:color="auto" w:fill="auto"/>
            <w:vAlign w:val="center"/>
          </w:tcPr>
          <w:p w14:paraId="40AF9BF0">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南沙大岗基地——广柴股份本部</w:t>
            </w:r>
          </w:p>
        </w:tc>
        <w:tc>
          <w:tcPr>
            <w:tcW w:w="804" w:type="pct"/>
            <w:tcBorders>
              <w:top w:val="single" w:color="000000" w:sz="4" w:space="0"/>
              <w:left w:val="single" w:color="000000" w:sz="4" w:space="0"/>
              <w:bottom w:val="nil"/>
              <w:right w:val="single" w:color="000000" w:sz="4" w:space="0"/>
            </w:tcBorders>
            <w:shd w:val="clear" w:color="auto" w:fill="auto"/>
            <w:vAlign w:val="center"/>
          </w:tcPr>
          <w:p w14:paraId="06AC6BD8">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运输价格：元/车</w:t>
            </w:r>
          </w:p>
        </w:tc>
        <w:tc>
          <w:tcPr>
            <w:tcW w:w="707" w:type="pct"/>
            <w:tcBorders>
              <w:top w:val="single" w:color="000000" w:sz="4" w:space="0"/>
              <w:left w:val="single" w:color="000000" w:sz="4" w:space="0"/>
              <w:bottom w:val="nil"/>
              <w:right w:val="single" w:color="000000" w:sz="4" w:space="0"/>
            </w:tcBorders>
            <w:shd w:val="clear" w:color="auto" w:fill="auto"/>
            <w:noWrap/>
            <w:vAlign w:val="center"/>
          </w:tcPr>
          <w:p w14:paraId="0FDE20B7">
            <w:pPr>
              <w:jc w:val="center"/>
              <w:rPr>
                <w:rFonts w:ascii="宋体" w:hAnsi="宋体" w:eastAsia="宋体" w:cs="宋体"/>
                <w:color w:val="000000"/>
                <w:sz w:val="20"/>
                <w:szCs w:val="20"/>
              </w:rPr>
            </w:pPr>
          </w:p>
        </w:tc>
        <w:tc>
          <w:tcPr>
            <w:tcW w:w="706" w:type="pct"/>
            <w:tcBorders>
              <w:top w:val="single" w:color="000000" w:sz="4" w:space="0"/>
              <w:left w:val="single" w:color="000000" w:sz="4" w:space="0"/>
              <w:bottom w:val="nil"/>
              <w:right w:val="single" w:color="000000" w:sz="4" w:space="0"/>
            </w:tcBorders>
            <w:shd w:val="clear" w:color="auto" w:fill="auto"/>
            <w:noWrap/>
            <w:vAlign w:val="center"/>
          </w:tcPr>
          <w:p w14:paraId="208AC213">
            <w:pPr>
              <w:jc w:val="center"/>
              <w:rPr>
                <w:rFonts w:ascii="宋体" w:hAnsi="宋体" w:eastAsia="宋体" w:cs="宋体"/>
                <w:color w:val="000000"/>
                <w:sz w:val="20"/>
                <w:szCs w:val="20"/>
              </w:rPr>
            </w:pPr>
          </w:p>
        </w:tc>
        <w:tc>
          <w:tcPr>
            <w:tcW w:w="706" w:type="pct"/>
            <w:tcBorders>
              <w:top w:val="single" w:color="000000" w:sz="4" w:space="0"/>
              <w:left w:val="single" w:color="000000" w:sz="4" w:space="0"/>
              <w:bottom w:val="nil"/>
              <w:right w:val="single" w:color="000000" w:sz="4" w:space="0"/>
            </w:tcBorders>
            <w:shd w:val="clear" w:color="auto" w:fill="auto"/>
            <w:noWrap/>
            <w:vAlign w:val="center"/>
          </w:tcPr>
          <w:p w14:paraId="241E9F49">
            <w:pPr>
              <w:jc w:val="center"/>
              <w:rPr>
                <w:rFonts w:ascii="宋体" w:hAnsi="宋体" w:eastAsia="宋体" w:cs="宋体"/>
                <w:color w:val="000000"/>
                <w:sz w:val="20"/>
                <w:szCs w:val="20"/>
              </w:rPr>
            </w:pPr>
          </w:p>
        </w:tc>
        <w:tc>
          <w:tcPr>
            <w:tcW w:w="707" w:type="pct"/>
            <w:tcBorders>
              <w:top w:val="single" w:color="000000" w:sz="4" w:space="0"/>
              <w:left w:val="single" w:color="000000" w:sz="4" w:space="0"/>
              <w:bottom w:val="nil"/>
              <w:right w:val="single" w:color="000000" w:sz="4" w:space="0"/>
            </w:tcBorders>
            <w:shd w:val="clear" w:color="auto" w:fill="auto"/>
            <w:noWrap/>
            <w:vAlign w:val="center"/>
          </w:tcPr>
          <w:p w14:paraId="2D17CF46">
            <w:pPr>
              <w:jc w:val="center"/>
              <w:rPr>
                <w:rFonts w:ascii="宋体" w:hAnsi="宋体" w:eastAsia="宋体" w:cs="宋体"/>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D660">
            <w:pPr>
              <w:jc w:val="center"/>
              <w:rPr>
                <w:rFonts w:ascii="宋体" w:hAnsi="宋体" w:eastAsia="宋体" w:cs="宋体"/>
                <w:color w:val="000000"/>
                <w:sz w:val="24"/>
                <w:szCs w:val="24"/>
              </w:rPr>
            </w:pPr>
          </w:p>
        </w:tc>
      </w:tr>
      <w:tr w14:paraId="2FD34AAE">
        <w:tblPrEx>
          <w:tblCellMar>
            <w:top w:w="0" w:type="dxa"/>
            <w:left w:w="108" w:type="dxa"/>
            <w:bottom w:w="0" w:type="dxa"/>
            <w:right w:w="108" w:type="dxa"/>
          </w:tblCellMar>
        </w:tblPrEx>
        <w:trPr>
          <w:trHeight w:val="680"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CC9A">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rPr>
              <w:t>车型</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78B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米</w:t>
            </w: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160C">
            <w:pPr>
              <w:jc w:val="center"/>
              <w:rPr>
                <w:rFonts w:ascii="宋体" w:hAnsi="宋体" w:eastAsia="宋体" w:cs="宋体"/>
                <w:color w:val="000000"/>
                <w:sz w:val="20"/>
                <w:szCs w:val="20"/>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044B">
            <w:pPr>
              <w:jc w:val="center"/>
              <w:rPr>
                <w:rFonts w:ascii="宋体" w:hAnsi="宋体" w:eastAsia="宋体" w:cs="宋体"/>
                <w:color w:val="000000"/>
                <w:sz w:val="20"/>
                <w:szCs w:val="20"/>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93D2">
            <w:pPr>
              <w:jc w:val="center"/>
              <w:rPr>
                <w:rFonts w:ascii="宋体" w:hAnsi="宋体" w:eastAsia="宋体" w:cs="宋体"/>
                <w:color w:val="000000"/>
                <w:sz w:val="20"/>
                <w:szCs w:val="20"/>
              </w:rPr>
            </w:pPr>
          </w:p>
        </w:tc>
        <w:tc>
          <w:tcPr>
            <w:tcW w:w="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0F20">
            <w:pPr>
              <w:jc w:val="center"/>
              <w:rPr>
                <w:rFonts w:ascii="宋体" w:hAnsi="宋体" w:eastAsia="宋体" w:cs="宋体"/>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F849">
            <w:pPr>
              <w:jc w:val="center"/>
              <w:rPr>
                <w:rFonts w:ascii="宋体" w:hAnsi="宋体" w:eastAsia="宋体" w:cs="宋体"/>
                <w:color w:val="000000"/>
                <w:sz w:val="24"/>
                <w:szCs w:val="24"/>
              </w:rPr>
            </w:pPr>
          </w:p>
        </w:tc>
      </w:tr>
      <w:tr w14:paraId="6B471C7F">
        <w:tblPrEx>
          <w:tblCellMar>
            <w:top w:w="0" w:type="dxa"/>
            <w:left w:w="108" w:type="dxa"/>
            <w:bottom w:w="0" w:type="dxa"/>
            <w:right w:w="108" w:type="dxa"/>
          </w:tblCellMar>
        </w:tblPrEx>
        <w:trPr>
          <w:trHeight w:val="2240" w:hRule="atLeast"/>
        </w:trPr>
        <w:tc>
          <w:tcPr>
            <w:tcW w:w="5000" w:type="pct"/>
            <w:gridSpan w:val="7"/>
            <w:tcBorders>
              <w:top w:val="nil"/>
              <w:left w:val="nil"/>
              <w:bottom w:val="nil"/>
              <w:right w:val="nil"/>
            </w:tcBorders>
            <w:shd w:val="clear" w:color="auto" w:fill="auto"/>
            <w:vAlign w:val="center"/>
          </w:tcPr>
          <w:p w14:paraId="585BB806">
            <w:pPr>
              <w:jc w:val="left"/>
              <w:rPr>
                <w:rFonts w:ascii="宋体" w:hAnsi="宋体" w:eastAsia="宋体" w:cs="宋体"/>
                <w:color w:val="000000"/>
                <w:sz w:val="24"/>
                <w:szCs w:val="24"/>
              </w:rPr>
            </w:pPr>
            <w:r>
              <w:rPr>
                <w:rFonts w:hint="eastAsia" w:ascii="宋体" w:hAnsi="宋体" w:cs="宋体"/>
                <w:color w:val="000000"/>
                <w:kern w:val="0"/>
                <w:szCs w:val="21"/>
              </w:rPr>
              <w:t>备注：</w:t>
            </w:r>
            <w:r>
              <w:rPr>
                <w:rFonts w:hint="eastAsia" w:ascii="宋体" w:hAnsi="宋体" w:cs="宋体"/>
                <w:color w:val="000000"/>
                <w:kern w:val="0"/>
                <w:szCs w:val="21"/>
              </w:rPr>
              <w:br w:type="textWrapping"/>
            </w:r>
            <w:r>
              <w:rPr>
                <w:rFonts w:hint="eastAsia" w:ascii="宋体" w:hAnsi="宋体" w:cs="宋体"/>
                <w:color w:val="000000"/>
                <w:kern w:val="0"/>
                <w:szCs w:val="21"/>
              </w:rPr>
              <w:t>①上述运输地点：广柴股份本部的地址为：广州市芳村大道东73号；南沙大岗基地的地址为：广州市南沙区大岗镇谭新公路362号。</w:t>
            </w:r>
            <w:r>
              <w:rPr>
                <w:rFonts w:hint="eastAsia" w:ascii="宋体" w:hAnsi="宋体" w:cs="宋体"/>
                <w:color w:val="000000"/>
                <w:kern w:val="0"/>
                <w:szCs w:val="21"/>
              </w:rPr>
              <w:br w:type="textWrapping"/>
            </w:r>
            <w:r>
              <w:rPr>
                <w:rFonts w:hint="eastAsia" w:ascii="宋体" w:hAnsi="宋体" w:cs="宋体"/>
                <w:color w:val="000000"/>
                <w:kern w:val="0"/>
                <w:szCs w:val="21"/>
              </w:rPr>
              <w:t xml:space="preserve">②运输费用须含税、含保险、含路桥费、含提货费等一切费用。 </w:t>
            </w:r>
            <w:r>
              <w:rPr>
                <w:rFonts w:hint="eastAsia" w:ascii="宋体" w:hAnsi="宋体" w:cs="宋体"/>
                <w:color w:val="000000"/>
                <w:kern w:val="0"/>
                <w:szCs w:val="21"/>
              </w:rPr>
              <w:br w:type="textWrapping"/>
            </w:r>
            <w:r>
              <w:rPr>
                <w:rFonts w:hint="eastAsia" w:ascii="宋体" w:hAnsi="宋体" w:cs="宋体"/>
                <w:color w:val="000000"/>
                <w:kern w:val="0"/>
                <w:szCs w:val="21"/>
              </w:rPr>
              <w:t>③货物在装、卸车过程的起吊由广柴股份负责；运输单位负责确定货物的摆放、货物在车上的固定及遮盖等。</w:t>
            </w:r>
            <w:r>
              <w:rPr>
                <w:rFonts w:hint="eastAsia" w:ascii="宋体" w:hAnsi="宋体" w:cs="宋体"/>
                <w:color w:val="000000"/>
                <w:kern w:val="0"/>
                <w:szCs w:val="21"/>
              </w:rPr>
              <w:br w:type="textWrapping"/>
            </w:r>
            <w:r>
              <w:rPr>
                <w:rFonts w:hint="eastAsia" w:ascii="宋体" w:hAnsi="宋体" w:cs="宋体"/>
                <w:color w:val="000000"/>
                <w:kern w:val="0"/>
                <w:szCs w:val="21"/>
              </w:rPr>
              <w:t>④短途运输，投标人须1天内将货物运抵目的地；</w:t>
            </w:r>
            <w:r>
              <w:rPr>
                <w:rFonts w:hint="eastAsia" w:ascii="宋体" w:hAnsi="宋体" w:cs="宋体"/>
                <w:color w:val="000000"/>
                <w:kern w:val="0"/>
                <w:szCs w:val="21"/>
              </w:rPr>
              <w:br w:type="textWrapping"/>
            </w:r>
            <w:r>
              <w:rPr>
                <w:rFonts w:hint="eastAsia" w:ascii="宋体" w:hAnsi="宋体" w:cs="宋体"/>
                <w:color w:val="000000"/>
                <w:kern w:val="0"/>
                <w:szCs w:val="21"/>
              </w:rPr>
              <w:t>⑤本表运输费用有效期为1年。</w:t>
            </w:r>
          </w:p>
        </w:tc>
      </w:tr>
    </w:tbl>
    <w:p w14:paraId="556AC38D">
      <w:pPr>
        <w:spacing w:line="360" w:lineRule="auto"/>
        <w:rPr>
          <w:sz w:val="24"/>
        </w:rPr>
      </w:pPr>
    </w:p>
    <w:p w14:paraId="108AE5C5">
      <w:pPr>
        <w:spacing w:line="360" w:lineRule="auto"/>
        <w:ind w:firstLine="480" w:firstLineChars="200"/>
        <w:rPr>
          <w:sz w:val="24"/>
        </w:rPr>
      </w:pPr>
      <w:r>
        <w:rPr>
          <w:rFonts w:hint="eastAsia"/>
          <w:sz w:val="24"/>
        </w:rPr>
        <w:t>1.2运输费用按上述1.1.1、1.1.2为准，如果双方需变更价格，须提前2个月书面通知对方。经双方书面确认后，方可执行，否则，甲乙双方按变更前的价格结算。本合同约定价格为含税价格，增值税税率为9%。在合同履行期间，如遇国家的税率调整，则价税合计的价格应相应调整，以开具发票的时间为准。</w:t>
      </w:r>
    </w:p>
    <w:p w14:paraId="3A7AB403">
      <w:pPr>
        <w:spacing w:line="360" w:lineRule="auto"/>
        <w:ind w:firstLine="480" w:firstLineChars="200"/>
        <w:rPr>
          <w:sz w:val="24"/>
        </w:rPr>
      </w:pPr>
      <w:r>
        <w:rPr>
          <w:rFonts w:hint="eastAsia"/>
          <w:sz w:val="24"/>
        </w:rPr>
        <w:t>1.3甲方委托乙方运输的具体货物名称、规格、型号、数量、保险价值、装货地点、运达地点、收货人、运价等事项，由甲方发起的《XXXX发XXXX物资清单》（XXXX表示运输的起/讫点）确定。所签《XXXX发XXXX物资清单》作为本合同的补充与本合同具有同等的法律效力。《XXXX发XXXX物资清单》必须在委托运输货物装运前由甲乙双方签字确认。</w:t>
      </w:r>
    </w:p>
    <w:p w14:paraId="468A1B3D">
      <w:pPr>
        <w:spacing w:line="360" w:lineRule="auto"/>
        <w:rPr>
          <w:b/>
          <w:bCs/>
          <w:sz w:val="24"/>
        </w:rPr>
      </w:pPr>
      <w:r>
        <w:rPr>
          <w:rFonts w:hint="eastAsia"/>
          <w:b/>
          <w:bCs/>
          <w:sz w:val="24"/>
        </w:rPr>
        <w:t>第二条、甲方责任</w:t>
      </w:r>
    </w:p>
    <w:p w14:paraId="654C3267">
      <w:pPr>
        <w:spacing w:line="360" w:lineRule="auto"/>
        <w:ind w:firstLine="480" w:firstLineChars="200"/>
        <w:rPr>
          <w:sz w:val="24"/>
        </w:rPr>
      </w:pPr>
      <w:r>
        <w:rPr>
          <w:rFonts w:hint="eastAsia"/>
          <w:sz w:val="24"/>
        </w:rPr>
        <w:t>2.1甲方委托乙方运输货物，应至少提前一个工作日通知乙方，以便乙方提前调配车辆，确保运力。</w:t>
      </w:r>
    </w:p>
    <w:p w14:paraId="742B2575">
      <w:pPr>
        <w:spacing w:line="360" w:lineRule="auto"/>
        <w:ind w:firstLine="480" w:firstLineChars="200"/>
        <w:rPr>
          <w:sz w:val="24"/>
        </w:rPr>
      </w:pPr>
      <w:r>
        <w:rPr>
          <w:rFonts w:hint="eastAsia"/>
          <w:sz w:val="24"/>
        </w:rPr>
        <w:t>2.2甲方委托乙方运输货物，应至少提前一个工作日告知乙方货物具体名称、规格、型号、数量、大致总吨位、装货地点和时间、卸货地点，联系人及电话等。并对所提供托运资料的真实性负责。</w:t>
      </w:r>
    </w:p>
    <w:p w14:paraId="21BDCDD7">
      <w:pPr>
        <w:spacing w:line="360" w:lineRule="auto"/>
        <w:ind w:firstLine="480" w:firstLineChars="200"/>
        <w:rPr>
          <w:sz w:val="24"/>
        </w:rPr>
      </w:pPr>
      <w:r>
        <w:rPr>
          <w:rFonts w:hint="eastAsia"/>
          <w:sz w:val="24"/>
        </w:rPr>
        <w:t>2.3特殊原因需临时增加运输货物，应提前12小时通知乙方，经双方协商同意后，由乙方安排装货承运。</w:t>
      </w:r>
    </w:p>
    <w:p w14:paraId="362D1974">
      <w:pPr>
        <w:spacing w:line="360" w:lineRule="auto"/>
        <w:ind w:firstLine="480" w:firstLineChars="200"/>
        <w:rPr>
          <w:sz w:val="24"/>
        </w:rPr>
      </w:pPr>
      <w:r>
        <w:rPr>
          <w:rFonts w:hint="eastAsia"/>
          <w:sz w:val="24"/>
        </w:rPr>
        <w:t>2.4按双方约定的标准和时间及时向乙方支付运输费用。</w:t>
      </w:r>
    </w:p>
    <w:p w14:paraId="6882172A">
      <w:pPr>
        <w:spacing w:line="360" w:lineRule="auto"/>
        <w:rPr>
          <w:sz w:val="24"/>
        </w:rPr>
      </w:pPr>
      <w:r>
        <w:rPr>
          <w:rFonts w:hint="eastAsia"/>
          <w:b/>
          <w:bCs/>
          <w:sz w:val="24"/>
        </w:rPr>
        <w:t>第三条、乙方责任</w:t>
      </w:r>
    </w:p>
    <w:p w14:paraId="36B04853">
      <w:pPr>
        <w:spacing w:line="360" w:lineRule="auto"/>
        <w:ind w:firstLine="480" w:firstLineChars="200"/>
        <w:rPr>
          <w:sz w:val="24"/>
        </w:rPr>
      </w:pPr>
      <w:r>
        <w:rPr>
          <w:rFonts w:hint="eastAsia"/>
          <w:sz w:val="24"/>
        </w:rPr>
        <w:t>3.1乙方必须保证在合同续存期间相关营运证件有效。乙方必须按照甲方的指令约定调配适当的运输车辆、设备、工具和必要的人员，乙方所安排的承运车辆必须是技术性能良好，证照齐全、合法、有效，并购买了交强险、商业险、物流责任险。货物启运前，乙方须向甲方提供承运车辆及驾驶员的基本资料复印件（包括：行驶证、驾驶证、身份证和联系电话）。</w:t>
      </w:r>
    </w:p>
    <w:p w14:paraId="4E4D2C6F">
      <w:pPr>
        <w:spacing w:line="360" w:lineRule="auto"/>
        <w:ind w:firstLine="480" w:firstLineChars="200"/>
        <w:rPr>
          <w:sz w:val="24"/>
        </w:rPr>
      </w:pPr>
      <w:r>
        <w:rPr>
          <w:rFonts w:hint="eastAsia"/>
          <w:sz w:val="24"/>
        </w:rPr>
        <w:t>3.2乙方需按甲方《XXXX发XXXX物资清单》的要求准时安排车辆到甲方指定地点装货，如遇特殊原因不能准时到达，需提前6小时书面通知甲方，并经甲方同意后方可延迟。否则，所产生的费用由乙方承担。乙方安排的车辆如需要在甲方指定装货地点过夜，须提前提供过夜车辆数量、车牌号和驾驶员联系电话，进入甲方指定装货地点的车辆必须听从甲方相关人员安排。</w:t>
      </w:r>
    </w:p>
    <w:p w14:paraId="73D4760D">
      <w:pPr>
        <w:spacing w:line="360" w:lineRule="auto"/>
        <w:ind w:firstLine="480" w:firstLineChars="200"/>
        <w:rPr>
          <w:sz w:val="24"/>
        </w:rPr>
      </w:pPr>
      <w:r>
        <w:rPr>
          <w:rFonts w:hint="eastAsia"/>
          <w:sz w:val="24"/>
        </w:rPr>
        <w:t>3.3柴油机及辅件吊装上车后，乙方承运责任即开始，货物数量、固定、损坏、防雨、防盗及运输安全由乙方负责，安全把货物运至到甲方指定的地点，交由甲方指定的收货人签收并提供抵达的现场照片或视频（须含车牌和指定到达船厂的名称等信息）。</w:t>
      </w:r>
    </w:p>
    <w:p w14:paraId="6B39275D">
      <w:pPr>
        <w:spacing w:line="360" w:lineRule="auto"/>
        <w:ind w:firstLine="480" w:firstLineChars="200"/>
        <w:rPr>
          <w:sz w:val="24"/>
        </w:rPr>
      </w:pPr>
      <w:r>
        <w:rPr>
          <w:rFonts w:hint="eastAsia"/>
          <w:sz w:val="24"/>
        </w:rPr>
        <w:t>3.4乙方必须在1.1.1、1.1.2要求的时限内将货物运抵甲方指定的地点，并交由甲方指定的收货人签收。</w:t>
      </w:r>
    </w:p>
    <w:p w14:paraId="1233AFE2">
      <w:pPr>
        <w:spacing w:line="360" w:lineRule="auto"/>
        <w:ind w:firstLine="480" w:firstLineChars="200"/>
        <w:rPr>
          <w:sz w:val="24"/>
        </w:rPr>
      </w:pPr>
      <w:r>
        <w:rPr>
          <w:rFonts w:hint="eastAsia"/>
          <w:sz w:val="24"/>
        </w:rPr>
        <w:t>3.5乙方负责收回客户签收的《XXXX发XXXX物资清单》并于客户签收后2日内交回甲方运营管理部，该单据作为运输费结算凭证之一。</w:t>
      </w:r>
    </w:p>
    <w:p w14:paraId="75EDE9B2">
      <w:pPr>
        <w:spacing w:line="360" w:lineRule="auto"/>
        <w:ind w:firstLine="480" w:firstLineChars="200"/>
        <w:rPr>
          <w:sz w:val="24"/>
        </w:rPr>
      </w:pPr>
      <w:r>
        <w:rPr>
          <w:rFonts w:hint="eastAsia"/>
          <w:sz w:val="24"/>
        </w:rPr>
        <w:t>3.6货物运输过程中若发生意外交通事故，无论是否导致货物损坏，乙方在启动交通事故救急预案的同时，还应及时通知甲方，并随时通报事故处理情况。</w:t>
      </w:r>
    </w:p>
    <w:p w14:paraId="399BFB72">
      <w:pPr>
        <w:spacing w:line="360" w:lineRule="auto"/>
        <w:ind w:firstLine="480" w:firstLineChars="200"/>
        <w:rPr>
          <w:sz w:val="24"/>
        </w:rPr>
      </w:pPr>
      <w:r>
        <w:rPr>
          <w:rFonts w:hint="eastAsia"/>
          <w:sz w:val="24"/>
        </w:rPr>
        <w:t>3.7乙方应该根据运输的货物价值进行投保，并指定甲方为受益人。</w:t>
      </w:r>
    </w:p>
    <w:p w14:paraId="5CA950B5">
      <w:pPr>
        <w:spacing w:line="360" w:lineRule="auto"/>
        <w:ind w:firstLine="480" w:firstLineChars="200"/>
        <w:rPr>
          <w:sz w:val="24"/>
        </w:rPr>
      </w:pPr>
      <w:r>
        <w:rPr>
          <w:rFonts w:hint="eastAsia"/>
          <w:sz w:val="24"/>
        </w:rPr>
        <w:t>3.8本协议为甲方商业机密，乙方不得向任何第三方泄露，否则，由此所产生的后果由乙方负责。</w:t>
      </w:r>
    </w:p>
    <w:p w14:paraId="22205E6C">
      <w:pPr>
        <w:spacing w:line="360" w:lineRule="auto"/>
        <w:ind w:firstLine="480" w:firstLineChars="200"/>
        <w:rPr>
          <w:sz w:val="24"/>
        </w:rPr>
      </w:pPr>
      <w:r>
        <w:rPr>
          <w:rFonts w:hint="eastAsia"/>
          <w:sz w:val="24"/>
        </w:rPr>
        <w:t>3.9乙方承担运输过程中甲方货物毁损、灭失等风险及因此造成的所有经济损失。出现上述情况时乙方应第一时间赔付，然后乙方按相关程序进行保险理赔。</w:t>
      </w:r>
    </w:p>
    <w:p w14:paraId="43CE1D70">
      <w:pPr>
        <w:spacing w:line="360" w:lineRule="auto"/>
        <w:ind w:firstLine="480" w:firstLineChars="200"/>
        <w:rPr>
          <w:sz w:val="24"/>
        </w:rPr>
      </w:pPr>
      <w:r>
        <w:rPr>
          <w:rFonts w:hint="eastAsia"/>
          <w:sz w:val="24"/>
        </w:rPr>
        <w:t>3.10除因不可抗力外，乙方不得以任何理由拒绝提供已报价线路的运输服务。</w:t>
      </w:r>
    </w:p>
    <w:p w14:paraId="784E0621">
      <w:pPr>
        <w:spacing w:line="360" w:lineRule="auto"/>
        <w:ind w:firstLine="480" w:firstLineChars="200"/>
        <w:rPr>
          <w:sz w:val="24"/>
        </w:rPr>
      </w:pPr>
      <w:r>
        <w:rPr>
          <w:rFonts w:hint="eastAsia"/>
          <w:sz w:val="24"/>
        </w:rPr>
        <w:t>3.11乙方必须根据甲方需求合理调度，保证运输需求；装车后要求用防水雨布及篷布遮盖。</w:t>
      </w:r>
    </w:p>
    <w:p w14:paraId="5C7B68A4">
      <w:pPr>
        <w:spacing w:line="360" w:lineRule="auto"/>
        <w:ind w:firstLine="480" w:firstLineChars="200"/>
        <w:rPr>
          <w:sz w:val="24"/>
        </w:rPr>
      </w:pPr>
      <w:r>
        <w:rPr>
          <w:rFonts w:hint="eastAsia"/>
          <w:sz w:val="24"/>
        </w:rPr>
        <w:t>3.12乙方须提供24 小时运输服务，具有流畅的信息沟通渠道;</w:t>
      </w:r>
    </w:p>
    <w:p w14:paraId="6EBB2BBB">
      <w:pPr>
        <w:spacing w:line="360" w:lineRule="auto"/>
        <w:rPr>
          <w:b/>
          <w:bCs/>
          <w:sz w:val="24"/>
        </w:rPr>
      </w:pPr>
      <w:r>
        <w:rPr>
          <w:rFonts w:hint="eastAsia"/>
          <w:b/>
          <w:bCs/>
          <w:sz w:val="24"/>
        </w:rPr>
        <w:t>第四条、运输费用及结算方式</w:t>
      </w:r>
    </w:p>
    <w:p w14:paraId="5112B840">
      <w:pPr>
        <w:spacing w:line="360" w:lineRule="auto"/>
        <w:ind w:firstLine="480" w:firstLineChars="200"/>
        <w:rPr>
          <w:sz w:val="24"/>
        </w:rPr>
      </w:pPr>
      <w:r>
        <w:rPr>
          <w:rFonts w:hint="eastAsia"/>
          <w:sz w:val="24"/>
        </w:rPr>
        <w:t>4.1 运输费用按季度方式结算，乙方需在每季度首月5日前将上季度的运输费用结算清单连同第4.2条款规定的单据一并提交给甲方，甲方须在收妥前述资料后核对完后回传给乙方确认，经双方确认无误后，于15个工作日将该费用按第4.3条款约定的方式支付给乙方。</w:t>
      </w:r>
    </w:p>
    <w:p w14:paraId="34159CE3">
      <w:pPr>
        <w:spacing w:line="360" w:lineRule="auto"/>
        <w:ind w:firstLine="480" w:firstLineChars="200"/>
        <w:rPr>
          <w:sz w:val="24"/>
        </w:rPr>
      </w:pPr>
      <w:r>
        <w:rPr>
          <w:rFonts w:hint="eastAsia"/>
          <w:sz w:val="24"/>
        </w:rPr>
        <w:t>4.2 乙方运输结算需要提供收货客户签收的广州柴油机厂股份有限公司《XXXX发XXXX物资清单》和合法有效的增值税专用发票给甲方。</w:t>
      </w:r>
    </w:p>
    <w:p w14:paraId="7F11D608">
      <w:pPr>
        <w:spacing w:line="360" w:lineRule="auto"/>
        <w:ind w:firstLine="480" w:firstLineChars="200"/>
        <w:rPr>
          <w:sz w:val="24"/>
        </w:rPr>
      </w:pPr>
      <w:r>
        <w:rPr>
          <w:rFonts w:hint="eastAsia"/>
          <w:sz w:val="24"/>
        </w:rPr>
        <w:t>4.3 乙方同意采用以下方式收款：</w:t>
      </w:r>
    </w:p>
    <w:p w14:paraId="198B260C">
      <w:pPr>
        <w:spacing w:line="360" w:lineRule="auto"/>
        <w:ind w:firstLine="960" w:firstLineChars="400"/>
        <w:rPr>
          <w:sz w:val="24"/>
        </w:rPr>
      </w:pPr>
      <w:r>
        <w:rPr>
          <w:rFonts w:hint="eastAsia"/>
          <w:sz w:val="24"/>
        </w:rPr>
        <w:t>由甲方将款项付至乙方如下账号：</w:t>
      </w:r>
    </w:p>
    <w:p w14:paraId="4ECB42AF">
      <w:pPr>
        <w:spacing w:line="360" w:lineRule="auto"/>
        <w:ind w:firstLine="960" w:firstLineChars="400"/>
        <w:rPr>
          <w:sz w:val="24"/>
        </w:rPr>
      </w:pPr>
      <w:r>
        <w:rPr>
          <w:rFonts w:hint="eastAsia"/>
          <w:sz w:val="24"/>
        </w:rPr>
        <w:t>账户名：</w:t>
      </w:r>
    </w:p>
    <w:p w14:paraId="541FB35D">
      <w:pPr>
        <w:spacing w:line="360" w:lineRule="auto"/>
        <w:ind w:firstLine="960" w:firstLineChars="400"/>
        <w:rPr>
          <w:sz w:val="24"/>
        </w:rPr>
      </w:pPr>
      <w:r>
        <w:rPr>
          <w:rFonts w:hint="eastAsia"/>
          <w:sz w:val="24"/>
        </w:rPr>
        <w:t xml:space="preserve">开户行： </w:t>
      </w:r>
    </w:p>
    <w:p w14:paraId="7ECD9870">
      <w:pPr>
        <w:spacing w:line="360" w:lineRule="auto"/>
        <w:ind w:firstLine="960" w:firstLineChars="400"/>
        <w:rPr>
          <w:sz w:val="24"/>
        </w:rPr>
      </w:pPr>
      <w:r>
        <w:rPr>
          <w:rFonts w:hint="eastAsia"/>
          <w:sz w:val="24"/>
        </w:rPr>
        <w:t>账号：以上信息如有变更，乙方应书面通知甲方。</w:t>
      </w:r>
    </w:p>
    <w:p w14:paraId="1F994AFB">
      <w:pPr>
        <w:spacing w:line="360" w:lineRule="auto"/>
        <w:rPr>
          <w:b/>
          <w:bCs/>
          <w:sz w:val="24"/>
        </w:rPr>
      </w:pPr>
      <w:r>
        <w:rPr>
          <w:rFonts w:hint="eastAsia"/>
          <w:b/>
          <w:bCs/>
          <w:sz w:val="24"/>
        </w:rPr>
        <w:t>第五条、合同的终止</w:t>
      </w:r>
    </w:p>
    <w:p w14:paraId="301F88C8">
      <w:pPr>
        <w:spacing w:line="360" w:lineRule="auto"/>
        <w:ind w:firstLine="480" w:firstLineChars="200"/>
        <w:rPr>
          <w:sz w:val="24"/>
        </w:rPr>
      </w:pPr>
      <w:r>
        <w:rPr>
          <w:rFonts w:hint="eastAsia"/>
          <w:sz w:val="24"/>
        </w:rPr>
        <w:t>5.1 如因不可抗力无法履行本合同的，本合同自动终止，甲乙双方承担各自的损失，互不追究责任。</w:t>
      </w:r>
    </w:p>
    <w:p w14:paraId="60AA6940">
      <w:pPr>
        <w:spacing w:line="360" w:lineRule="auto"/>
        <w:ind w:firstLine="480" w:firstLineChars="200"/>
        <w:rPr>
          <w:sz w:val="24"/>
        </w:rPr>
      </w:pPr>
      <w:r>
        <w:rPr>
          <w:rFonts w:hint="eastAsia"/>
          <w:sz w:val="24"/>
        </w:rPr>
        <w:t>5.2 乙方在连续三个月内累计延迟到货5次，连续六个月内累计延迟到甲方指定装货地点10次，甲方有权终止本合同并追究乙方违约责任。</w:t>
      </w:r>
    </w:p>
    <w:p w14:paraId="2797E74D">
      <w:pPr>
        <w:spacing w:line="360" w:lineRule="auto"/>
        <w:ind w:firstLine="480" w:firstLineChars="200"/>
        <w:rPr>
          <w:sz w:val="24"/>
        </w:rPr>
      </w:pPr>
      <w:r>
        <w:rPr>
          <w:rFonts w:hint="eastAsia"/>
          <w:sz w:val="24"/>
        </w:rPr>
        <w:t>5.3 乙方承运过程中造成甲方较大损失(包括但不限于直接或间接经济损失)的，甲方有权终止本合同并追究乙方的违约责任。</w:t>
      </w:r>
    </w:p>
    <w:p w14:paraId="2402D985">
      <w:pPr>
        <w:spacing w:line="360" w:lineRule="auto"/>
        <w:ind w:firstLine="480" w:firstLineChars="200"/>
        <w:rPr>
          <w:sz w:val="24"/>
        </w:rPr>
      </w:pPr>
      <w:r>
        <w:rPr>
          <w:rFonts w:hint="eastAsia"/>
          <w:sz w:val="24"/>
        </w:rPr>
        <w:t>5.4除上述外，甲、乙任何一方终止合同，需提前二个月以书面报告形式告知对方。</w:t>
      </w:r>
    </w:p>
    <w:p w14:paraId="3E01E992">
      <w:pPr>
        <w:spacing w:line="360" w:lineRule="auto"/>
        <w:rPr>
          <w:b/>
          <w:bCs/>
          <w:sz w:val="24"/>
        </w:rPr>
      </w:pPr>
      <w:r>
        <w:rPr>
          <w:rFonts w:hint="eastAsia"/>
          <w:b/>
          <w:bCs/>
          <w:sz w:val="24"/>
        </w:rPr>
        <w:t>第六条、违约责任</w:t>
      </w:r>
    </w:p>
    <w:p w14:paraId="25D116AF">
      <w:pPr>
        <w:spacing w:line="360" w:lineRule="auto"/>
        <w:ind w:firstLine="480" w:firstLineChars="200"/>
        <w:rPr>
          <w:sz w:val="24"/>
        </w:rPr>
      </w:pPr>
      <w:r>
        <w:rPr>
          <w:rFonts w:hint="eastAsia"/>
          <w:sz w:val="24"/>
        </w:rPr>
        <w:t>6.1 乙方需按甲方要求的时间装货，在未经甲方同意而延迟装货，每延迟 6 小时按照该批次运输费用的10%向甲方支付违约金。</w:t>
      </w:r>
    </w:p>
    <w:p w14:paraId="4FCF2A0A">
      <w:pPr>
        <w:spacing w:line="360" w:lineRule="auto"/>
        <w:ind w:firstLine="480" w:firstLineChars="200"/>
        <w:rPr>
          <w:sz w:val="24"/>
        </w:rPr>
      </w:pPr>
      <w:r>
        <w:rPr>
          <w:rFonts w:hint="eastAsia"/>
          <w:sz w:val="24"/>
        </w:rPr>
        <w:t>6.2乙方如将货物错运到货地点或接货人，应无偿运至货物运输委托单规定的到货地点或接货人。如果货物逾期到达，每逾期一天，乙方按该批次运输费用的10%向甲方支付违约金。</w:t>
      </w:r>
    </w:p>
    <w:p w14:paraId="5131DB49">
      <w:pPr>
        <w:spacing w:line="360" w:lineRule="auto"/>
        <w:ind w:firstLine="480" w:firstLineChars="200"/>
        <w:rPr>
          <w:sz w:val="24"/>
        </w:rPr>
      </w:pPr>
      <w:r>
        <w:rPr>
          <w:rFonts w:hint="eastAsia"/>
          <w:sz w:val="24"/>
        </w:rPr>
        <w:t>6.3除不可抗力及甲方本身过错外，运输过程中出现货物丢失、损坏的，乙方应按以下标准赔偿甲方经济损失：</w:t>
      </w:r>
    </w:p>
    <w:p w14:paraId="262EEA5B">
      <w:pPr>
        <w:spacing w:line="360" w:lineRule="auto"/>
        <w:ind w:firstLine="480" w:firstLineChars="200"/>
        <w:rPr>
          <w:sz w:val="24"/>
        </w:rPr>
      </w:pPr>
      <w:r>
        <w:rPr>
          <w:rFonts w:hint="eastAsia"/>
          <w:sz w:val="24"/>
        </w:rPr>
        <w:t>6.3.1货物丢失或经修复仍无法正常使用的，本合同货物保险价值全额赔偿。本合同未记载的，按甲方同类产品出厂价格赔偿。</w:t>
      </w:r>
    </w:p>
    <w:p w14:paraId="10F61D26">
      <w:pPr>
        <w:spacing w:line="360" w:lineRule="auto"/>
        <w:ind w:firstLine="480" w:firstLineChars="200"/>
        <w:rPr>
          <w:sz w:val="24"/>
        </w:rPr>
      </w:pPr>
      <w:r>
        <w:rPr>
          <w:rFonts w:hint="eastAsia"/>
          <w:sz w:val="24"/>
        </w:rPr>
        <w:t>6.3.2货物修理所需人员、配件等应由甲方指定；修理后可以正常使用且用户无异议的，乙方赔偿甲方因此产生的一切费用（包括零件更换费、人工费及修理人员往返差旅费等）。</w:t>
      </w:r>
    </w:p>
    <w:p w14:paraId="0284EA71">
      <w:pPr>
        <w:spacing w:line="360" w:lineRule="auto"/>
        <w:ind w:firstLine="480" w:firstLineChars="200"/>
        <w:rPr>
          <w:sz w:val="24"/>
        </w:rPr>
      </w:pPr>
      <w:r>
        <w:rPr>
          <w:rFonts w:hint="eastAsia"/>
          <w:sz w:val="24"/>
        </w:rPr>
        <w:t>6.4甲乙任何一方有违反商业诚信及不廉洁行为的，守约方有权单方解除本合同，并不再向违约方支付所有应付但未付的款项。</w:t>
      </w:r>
    </w:p>
    <w:p w14:paraId="1ADD98CF">
      <w:pPr>
        <w:spacing w:line="360" w:lineRule="auto"/>
        <w:rPr>
          <w:sz w:val="24"/>
        </w:rPr>
      </w:pPr>
      <w:r>
        <w:rPr>
          <w:rFonts w:hint="eastAsia"/>
          <w:b/>
          <w:bCs/>
          <w:sz w:val="24"/>
        </w:rPr>
        <w:t>第七条、其它</w:t>
      </w:r>
    </w:p>
    <w:p w14:paraId="7AEB9F77">
      <w:pPr>
        <w:spacing w:line="360" w:lineRule="auto"/>
        <w:ind w:firstLine="480" w:firstLineChars="200"/>
        <w:rPr>
          <w:sz w:val="24"/>
        </w:rPr>
      </w:pPr>
      <w:r>
        <w:rPr>
          <w:rFonts w:hint="eastAsia"/>
          <w:sz w:val="24"/>
        </w:rPr>
        <w:t>7.1本合同如授权代表人签字，乙方需提供法定代表人授权书。</w:t>
      </w:r>
    </w:p>
    <w:p w14:paraId="37A5E379">
      <w:pPr>
        <w:spacing w:line="360" w:lineRule="auto"/>
        <w:ind w:firstLine="480" w:firstLineChars="200"/>
        <w:rPr>
          <w:sz w:val="24"/>
        </w:rPr>
      </w:pPr>
      <w:r>
        <w:rPr>
          <w:rFonts w:hint="eastAsia"/>
          <w:sz w:val="24"/>
        </w:rPr>
        <w:t>7.2本合同执行期间，如出现变更事项，双方友好协商解决，并签订补充协议。</w:t>
      </w:r>
    </w:p>
    <w:p w14:paraId="25499F2E">
      <w:pPr>
        <w:spacing w:line="360" w:lineRule="auto"/>
        <w:ind w:firstLine="480" w:firstLineChars="200"/>
        <w:rPr>
          <w:sz w:val="24"/>
        </w:rPr>
      </w:pPr>
      <w:r>
        <w:rPr>
          <w:rFonts w:hint="eastAsia"/>
          <w:sz w:val="24"/>
        </w:rPr>
        <w:t>7.3凡因执行本合同或与本合同有关的任何争议，双方友好协商解决，协商不成可向当地工商行政管理部门申请调解，也可向合同签订地仲裁机构仲裁，或直接向合同签订地人民法院提出起诉。</w:t>
      </w:r>
    </w:p>
    <w:p w14:paraId="6E06C374">
      <w:pPr>
        <w:spacing w:line="360" w:lineRule="auto"/>
        <w:ind w:firstLine="480" w:firstLineChars="200"/>
        <w:rPr>
          <w:sz w:val="24"/>
        </w:rPr>
      </w:pPr>
      <w:r>
        <w:rPr>
          <w:rFonts w:hint="eastAsia"/>
          <w:sz w:val="24"/>
        </w:rPr>
        <w:t>7.4本合同自签订之日起生效，有效期</w:t>
      </w:r>
      <w:r>
        <w:rPr>
          <w:rFonts w:hint="eastAsia"/>
          <w:color w:val="000000" w:themeColor="text1"/>
          <w:sz w:val="24"/>
        </w:rPr>
        <w:t>从2026年合同生效期开始至2026年12月</w:t>
      </w:r>
      <w:r>
        <w:rPr>
          <w:color w:val="000000" w:themeColor="text1"/>
          <w:sz w:val="24"/>
        </w:rPr>
        <w:t>3</w:t>
      </w:r>
      <w:r>
        <w:rPr>
          <w:rFonts w:hint="eastAsia"/>
          <w:color w:val="000000" w:themeColor="text1"/>
          <w:sz w:val="24"/>
        </w:rPr>
        <w:t>1日</w:t>
      </w:r>
      <w:r>
        <w:rPr>
          <w:rFonts w:hint="eastAsia"/>
          <w:sz w:val="24"/>
        </w:rPr>
        <w:t>止。本合同一式四份，甲乙双方各执两份，具有同等的法律效力。</w:t>
      </w:r>
    </w:p>
    <w:tbl>
      <w:tblPr>
        <w:tblStyle w:val="9"/>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308"/>
      </w:tblGrid>
      <w:tr w14:paraId="50FE8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308" w:type="dxa"/>
            <w:vAlign w:val="center"/>
          </w:tcPr>
          <w:p w14:paraId="610791A4">
            <w:pPr>
              <w:spacing w:line="360" w:lineRule="auto"/>
              <w:rPr>
                <w:rFonts w:ascii="宋体" w:hAnsi="宋体" w:cs="宋体"/>
                <w:b/>
                <w:bCs/>
                <w:szCs w:val="21"/>
              </w:rPr>
            </w:pPr>
            <w:r>
              <w:rPr>
                <w:rFonts w:hint="eastAsia" w:ascii="宋体" w:hAnsi="宋体" w:cs="宋体"/>
                <w:b/>
                <w:bCs/>
                <w:szCs w:val="21"/>
              </w:rPr>
              <w:t>委托方：广州柴油机厂股份有限公司</w:t>
            </w:r>
          </w:p>
        </w:tc>
        <w:tc>
          <w:tcPr>
            <w:tcW w:w="4308" w:type="dxa"/>
            <w:vAlign w:val="center"/>
          </w:tcPr>
          <w:p w14:paraId="64FDA02D">
            <w:pPr>
              <w:spacing w:line="360" w:lineRule="auto"/>
              <w:rPr>
                <w:rFonts w:ascii="宋体" w:hAnsi="宋体" w:cs="宋体"/>
                <w:b/>
                <w:bCs/>
                <w:szCs w:val="21"/>
              </w:rPr>
            </w:pPr>
            <w:r>
              <w:rPr>
                <w:rFonts w:hint="eastAsia"/>
                <w:b/>
                <w:sz w:val="24"/>
              </w:rPr>
              <w:t>承运方</w:t>
            </w:r>
            <w:r>
              <w:rPr>
                <w:rFonts w:hint="eastAsia" w:ascii="宋体" w:hAnsi="宋体" w:cs="宋体"/>
                <w:b/>
                <w:bCs/>
                <w:szCs w:val="21"/>
              </w:rPr>
              <w:t>：</w:t>
            </w:r>
          </w:p>
        </w:tc>
      </w:tr>
      <w:tr w14:paraId="427B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308" w:type="dxa"/>
            <w:vAlign w:val="center"/>
          </w:tcPr>
          <w:p w14:paraId="3EF60596">
            <w:pPr>
              <w:spacing w:line="360" w:lineRule="auto"/>
              <w:rPr>
                <w:rFonts w:ascii="宋体" w:hAnsi="宋体" w:cs="宋体"/>
                <w:b/>
                <w:bCs/>
                <w:szCs w:val="21"/>
              </w:rPr>
            </w:pPr>
            <w:r>
              <w:rPr>
                <w:rFonts w:hint="eastAsia" w:ascii="宋体" w:hAnsi="宋体" w:cs="宋体"/>
                <w:b/>
                <w:bCs/>
                <w:szCs w:val="21"/>
              </w:rPr>
              <w:t>法人代表</w:t>
            </w:r>
          </w:p>
        </w:tc>
        <w:tc>
          <w:tcPr>
            <w:tcW w:w="4308" w:type="dxa"/>
            <w:vAlign w:val="center"/>
          </w:tcPr>
          <w:p w14:paraId="3009ACC4">
            <w:pPr>
              <w:spacing w:line="360" w:lineRule="auto"/>
              <w:rPr>
                <w:rFonts w:ascii="宋体" w:hAnsi="宋体" w:cs="宋体"/>
                <w:b/>
                <w:bCs/>
                <w:szCs w:val="21"/>
              </w:rPr>
            </w:pPr>
            <w:r>
              <w:rPr>
                <w:rFonts w:hint="eastAsia" w:ascii="宋体" w:hAnsi="宋体" w:cs="宋体"/>
                <w:b/>
                <w:bCs/>
                <w:szCs w:val="21"/>
              </w:rPr>
              <w:t>法人代表：</w:t>
            </w:r>
          </w:p>
        </w:tc>
      </w:tr>
      <w:tr w14:paraId="747C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308" w:type="dxa"/>
            <w:vAlign w:val="center"/>
          </w:tcPr>
          <w:p w14:paraId="1851133B">
            <w:pPr>
              <w:spacing w:line="360" w:lineRule="auto"/>
              <w:rPr>
                <w:rFonts w:ascii="宋体" w:hAnsi="宋体" w:cs="宋体"/>
                <w:b/>
                <w:bCs/>
                <w:szCs w:val="21"/>
              </w:rPr>
            </w:pPr>
            <w:r>
              <w:rPr>
                <w:rFonts w:hint="eastAsia" w:ascii="宋体" w:hAnsi="宋体" w:cs="宋体"/>
                <w:b/>
                <w:bCs/>
                <w:szCs w:val="21"/>
              </w:rPr>
              <w:t>签约代表：</w:t>
            </w:r>
          </w:p>
        </w:tc>
        <w:tc>
          <w:tcPr>
            <w:tcW w:w="4308" w:type="dxa"/>
            <w:vAlign w:val="center"/>
          </w:tcPr>
          <w:p w14:paraId="52C783FA">
            <w:pPr>
              <w:spacing w:line="360" w:lineRule="auto"/>
              <w:rPr>
                <w:rFonts w:ascii="宋体" w:hAnsi="宋体" w:cs="宋体"/>
                <w:b/>
                <w:bCs/>
                <w:szCs w:val="21"/>
              </w:rPr>
            </w:pPr>
            <w:r>
              <w:rPr>
                <w:rFonts w:hint="eastAsia" w:ascii="宋体" w:hAnsi="宋体" w:cs="宋体"/>
                <w:b/>
                <w:bCs/>
                <w:szCs w:val="21"/>
              </w:rPr>
              <w:t>签约代表：</w:t>
            </w:r>
          </w:p>
        </w:tc>
      </w:tr>
      <w:tr w14:paraId="0520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08" w:type="dxa"/>
            <w:vAlign w:val="center"/>
          </w:tcPr>
          <w:p w14:paraId="28E3BDC4">
            <w:pPr>
              <w:spacing w:line="360" w:lineRule="auto"/>
              <w:jc w:val="left"/>
              <w:rPr>
                <w:rFonts w:ascii="宋体" w:hAnsi="宋体" w:cs="宋体"/>
                <w:b/>
                <w:bCs/>
                <w:szCs w:val="21"/>
              </w:rPr>
            </w:pPr>
            <w:r>
              <w:rPr>
                <w:rFonts w:hint="eastAsia" w:ascii="宋体" w:hAnsi="宋体" w:cs="宋体"/>
                <w:b/>
                <w:bCs/>
                <w:szCs w:val="21"/>
              </w:rPr>
              <w:t>电话：</w:t>
            </w:r>
          </w:p>
        </w:tc>
        <w:tc>
          <w:tcPr>
            <w:tcW w:w="4308" w:type="dxa"/>
            <w:vAlign w:val="center"/>
          </w:tcPr>
          <w:p w14:paraId="2B33D4AE">
            <w:pPr>
              <w:spacing w:line="360" w:lineRule="auto"/>
              <w:rPr>
                <w:rFonts w:ascii="宋体" w:hAnsi="宋体" w:cs="宋体"/>
                <w:b/>
                <w:bCs/>
                <w:szCs w:val="21"/>
              </w:rPr>
            </w:pPr>
            <w:r>
              <w:rPr>
                <w:rFonts w:hint="eastAsia" w:ascii="宋体" w:hAnsi="宋体" w:cs="宋体"/>
                <w:b/>
                <w:bCs/>
                <w:szCs w:val="21"/>
              </w:rPr>
              <w:t>电话：</w:t>
            </w:r>
          </w:p>
        </w:tc>
      </w:tr>
      <w:tr w14:paraId="7DEA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74BAC576">
            <w:pPr>
              <w:spacing w:line="360" w:lineRule="auto"/>
              <w:jc w:val="left"/>
              <w:rPr>
                <w:rFonts w:ascii="宋体" w:hAnsi="宋体" w:cs="宋体"/>
                <w:b/>
                <w:bCs/>
                <w:szCs w:val="21"/>
              </w:rPr>
            </w:pPr>
            <w:r>
              <w:rPr>
                <w:rFonts w:hint="eastAsia" w:ascii="宋体" w:hAnsi="宋体" w:cs="宋体"/>
                <w:b/>
                <w:bCs/>
                <w:szCs w:val="21"/>
              </w:rPr>
              <w:t xml:space="preserve">税号：            </w:t>
            </w:r>
          </w:p>
          <w:p w14:paraId="1A7152B5">
            <w:pPr>
              <w:spacing w:line="360" w:lineRule="auto"/>
              <w:jc w:val="left"/>
              <w:rPr>
                <w:rFonts w:ascii="宋体" w:hAnsi="宋体" w:cs="宋体"/>
                <w:b/>
                <w:bCs/>
                <w:szCs w:val="21"/>
              </w:rPr>
            </w:pPr>
            <w:r>
              <w:rPr>
                <w:rFonts w:hint="eastAsia" w:ascii="宋体" w:hAnsi="宋体" w:cs="宋体"/>
                <w:b/>
                <w:bCs/>
                <w:szCs w:val="21"/>
              </w:rPr>
              <w:t>发票电话：</w:t>
            </w:r>
          </w:p>
        </w:tc>
        <w:tc>
          <w:tcPr>
            <w:tcW w:w="4308" w:type="dxa"/>
            <w:vAlign w:val="center"/>
          </w:tcPr>
          <w:p w14:paraId="6D870D40">
            <w:pPr>
              <w:spacing w:line="360" w:lineRule="auto"/>
              <w:rPr>
                <w:rFonts w:ascii="宋体" w:hAnsi="宋体" w:cs="宋体"/>
                <w:b/>
                <w:bCs/>
                <w:szCs w:val="21"/>
              </w:rPr>
            </w:pPr>
            <w:r>
              <w:rPr>
                <w:rFonts w:hint="eastAsia" w:ascii="宋体" w:hAnsi="宋体" w:cs="宋体"/>
                <w:b/>
                <w:bCs/>
                <w:szCs w:val="21"/>
              </w:rPr>
              <w:t>税号：</w:t>
            </w:r>
          </w:p>
        </w:tc>
      </w:tr>
      <w:tr w14:paraId="1207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308" w:type="dxa"/>
            <w:vAlign w:val="center"/>
          </w:tcPr>
          <w:p w14:paraId="343C18AC">
            <w:pPr>
              <w:spacing w:line="360" w:lineRule="auto"/>
              <w:rPr>
                <w:rFonts w:ascii="宋体" w:hAnsi="宋体" w:cs="宋体"/>
                <w:b/>
                <w:bCs/>
                <w:szCs w:val="21"/>
              </w:rPr>
            </w:pPr>
            <w:r>
              <w:rPr>
                <w:rFonts w:hint="eastAsia" w:ascii="宋体" w:hAnsi="宋体" w:cs="宋体"/>
                <w:b/>
                <w:bCs/>
                <w:szCs w:val="21"/>
              </w:rPr>
              <w:t>帐号：</w:t>
            </w:r>
          </w:p>
        </w:tc>
        <w:tc>
          <w:tcPr>
            <w:tcW w:w="4308" w:type="dxa"/>
            <w:vAlign w:val="center"/>
          </w:tcPr>
          <w:p w14:paraId="30EC1C93">
            <w:pPr>
              <w:spacing w:line="360" w:lineRule="auto"/>
              <w:rPr>
                <w:rFonts w:ascii="宋体" w:hAnsi="宋体" w:cs="宋体"/>
                <w:b/>
                <w:bCs/>
                <w:szCs w:val="21"/>
              </w:rPr>
            </w:pPr>
            <w:r>
              <w:rPr>
                <w:rFonts w:hint="eastAsia" w:ascii="宋体" w:hAnsi="宋体" w:cs="宋体"/>
                <w:b/>
                <w:bCs/>
                <w:szCs w:val="21"/>
              </w:rPr>
              <w:t>帐号：</w:t>
            </w:r>
          </w:p>
        </w:tc>
      </w:tr>
      <w:tr w14:paraId="3430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308" w:type="dxa"/>
            <w:vAlign w:val="center"/>
          </w:tcPr>
          <w:p w14:paraId="0226F8D3">
            <w:pPr>
              <w:spacing w:line="360" w:lineRule="auto"/>
              <w:rPr>
                <w:rFonts w:ascii="宋体" w:hAnsi="宋体" w:cs="宋体"/>
                <w:b/>
                <w:bCs/>
                <w:szCs w:val="21"/>
              </w:rPr>
            </w:pPr>
            <w:r>
              <w:rPr>
                <w:rFonts w:hint="eastAsia" w:ascii="宋体" w:hAnsi="宋体" w:cs="宋体"/>
                <w:b/>
                <w:bCs/>
                <w:szCs w:val="21"/>
              </w:rPr>
              <w:t xml:space="preserve">开户行： </w:t>
            </w:r>
          </w:p>
        </w:tc>
        <w:tc>
          <w:tcPr>
            <w:tcW w:w="4308" w:type="dxa"/>
            <w:vAlign w:val="center"/>
          </w:tcPr>
          <w:p w14:paraId="4B5EAB9F">
            <w:pPr>
              <w:spacing w:line="360" w:lineRule="auto"/>
              <w:rPr>
                <w:rFonts w:ascii="宋体" w:hAnsi="宋体" w:cs="宋体"/>
                <w:b/>
                <w:bCs/>
                <w:szCs w:val="21"/>
              </w:rPr>
            </w:pPr>
            <w:r>
              <w:rPr>
                <w:rFonts w:hint="eastAsia" w:ascii="宋体" w:hAnsi="宋体" w:cs="宋体"/>
                <w:b/>
                <w:bCs/>
                <w:szCs w:val="21"/>
              </w:rPr>
              <w:t>开户行</w:t>
            </w:r>
          </w:p>
        </w:tc>
      </w:tr>
      <w:tr w14:paraId="2F3B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4308" w:type="dxa"/>
            <w:vAlign w:val="center"/>
          </w:tcPr>
          <w:p w14:paraId="1B912411">
            <w:pPr>
              <w:spacing w:line="360" w:lineRule="auto"/>
              <w:rPr>
                <w:rFonts w:ascii="宋体" w:hAnsi="宋体" w:cs="宋体"/>
                <w:b/>
                <w:bCs/>
                <w:szCs w:val="21"/>
              </w:rPr>
            </w:pPr>
            <w:r>
              <w:rPr>
                <w:rFonts w:hint="eastAsia" w:ascii="宋体" w:hAnsi="宋体" w:cs="宋体"/>
                <w:b/>
                <w:bCs/>
                <w:szCs w:val="21"/>
              </w:rPr>
              <w:t>邮政编码：</w:t>
            </w:r>
          </w:p>
        </w:tc>
        <w:tc>
          <w:tcPr>
            <w:tcW w:w="4308" w:type="dxa"/>
            <w:vAlign w:val="center"/>
          </w:tcPr>
          <w:p w14:paraId="03DD0528">
            <w:pPr>
              <w:spacing w:line="360" w:lineRule="auto"/>
              <w:rPr>
                <w:rFonts w:ascii="宋体" w:hAnsi="宋体" w:cs="宋体"/>
                <w:b/>
                <w:bCs/>
                <w:szCs w:val="21"/>
              </w:rPr>
            </w:pPr>
            <w:r>
              <w:rPr>
                <w:rFonts w:hint="eastAsia" w:ascii="宋体" w:hAnsi="宋体" w:cs="宋体"/>
                <w:b/>
                <w:bCs/>
                <w:szCs w:val="21"/>
              </w:rPr>
              <w:t>邮政编码：</w:t>
            </w:r>
          </w:p>
        </w:tc>
      </w:tr>
      <w:tr w14:paraId="4BA6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5A8D4CFE">
            <w:pPr>
              <w:spacing w:line="360" w:lineRule="auto"/>
              <w:rPr>
                <w:rFonts w:ascii="宋体" w:hAnsi="宋体" w:cs="宋体"/>
                <w:b/>
                <w:bCs/>
                <w:szCs w:val="21"/>
              </w:rPr>
            </w:pPr>
            <w:r>
              <w:rPr>
                <w:rFonts w:hint="eastAsia" w:ascii="宋体" w:hAnsi="宋体" w:cs="宋体"/>
                <w:b/>
                <w:bCs/>
                <w:szCs w:val="21"/>
              </w:rPr>
              <w:t>日期：</w:t>
            </w:r>
          </w:p>
        </w:tc>
        <w:tc>
          <w:tcPr>
            <w:tcW w:w="4308" w:type="dxa"/>
            <w:vAlign w:val="center"/>
          </w:tcPr>
          <w:p w14:paraId="2B4B04CB">
            <w:pPr>
              <w:spacing w:line="360" w:lineRule="auto"/>
              <w:rPr>
                <w:rFonts w:ascii="宋体" w:hAnsi="宋体" w:cs="宋体"/>
                <w:b/>
                <w:bCs/>
                <w:szCs w:val="21"/>
              </w:rPr>
            </w:pPr>
            <w:r>
              <w:rPr>
                <w:rFonts w:hint="eastAsia" w:ascii="宋体" w:hAnsi="宋体" w:cs="宋体"/>
                <w:b/>
                <w:bCs/>
                <w:szCs w:val="21"/>
              </w:rPr>
              <w:t>日期：</w:t>
            </w:r>
          </w:p>
        </w:tc>
      </w:tr>
    </w:tbl>
    <w:p w14:paraId="4C2AD070">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3A2A">
    <w:pPr>
      <w:pStyle w:val="7"/>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7DE6C7ED">
                <w:pPr>
                  <w:pStyle w:val="7"/>
                </w:pPr>
                <w:r>
                  <w:t xml:space="preserve">第 </w:t>
                </w:r>
                <w:r>
                  <w:fldChar w:fldCharType="begin"/>
                </w:r>
                <w:r>
                  <w:instrText xml:space="preserve"> PAGE  \* MERGEFORMAT </w:instrText>
                </w:r>
                <w:r>
                  <w:fldChar w:fldCharType="separate"/>
                </w:r>
                <w:r>
                  <w:t>26</w:t>
                </w:r>
                <w:r>
                  <w:fldChar w:fldCharType="end"/>
                </w:r>
                <w:r>
                  <w:t xml:space="preserve"> 页 共 </w:t>
                </w:r>
                <w:r>
                  <w:rPr>
                    <w:rFonts w:hint="eastAsia"/>
                  </w:rPr>
                  <w:t>26</w:t>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8A52A">
    <w:pPr>
      <w:pStyle w:val="7"/>
    </w:pPr>
    <w: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5C3FF3B3">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0AE87"/>
    <w:multiLevelType w:val="singleLevel"/>
    <w:tmpl w:val="FF80AE87"/>
    <w:lvl w:ilvl="0" w:tentative="0">
      <w:start w:val="2"/>
      <w:numFmt w:val="decimal"/>
      <w:lvlText w:val="%1."/>
      <w:lvlJc w:val="left"/>
      <w:pPr>
        <w:tabs>
          <w:tab w:val="left" w:pos="312"/>
        </w:tabs>
        <w:ind w:left="525" w:firstLine="0"/>
      </w:pPr>
    </w:lvl>
  </w:abstractNum>
  <w:abstractNum w:abstractNumId="1">
    <w:nsid w:val="0000001B"/>
    <w:multiLevelType w:val="multilevel"/>
    <w:tmpl w:val="000000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AC024E0"/>
    <w:multiLevelType w:val="singleLevel"/>
    <w:tmpl w:val="2AC024E0"/>
    <w:lvl w:ilvl="0" w:tentative="0">
      <w:start w:val="4"/>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381920"/>
    <w:rsid w:val="0002031A"/>
    <w:rsid w:val="000262EF"/>
    <w:rsid w:val="00031E74"/>
    <w:rsid w:val="00034CB2"/>
    <w:rsid w:val="0004157B"/>
    <w:rsid w:val="00053C46"/>
    <w:rsid w:val="00081447"/>
    <w:rsid w:val="00083CC1"/>
    <w:rsid w:val="00092270"/>
    <w:rsid w:val="00095843"/>
    <w:rsid w:val="000A1F90"/>
    <w:rsid w:val="000A292E"/>
    <w:rsid w:val="000B11C5"/>
    <w:rsid w:val="000B11DB"/>
    <w:rsid w:val="000B16F0"/>
    <w:rsid w:val="000C1B30"/>
    <w:rsid w:val="000D2B2D"/>
    <w:rsid w:val="000E0C2A"/>
    <w:rsid w:val="000F09D7"/>
    <w:rsid w:val="000F2B06"/>
    <w:rsid w:val="000F4CCD"/>
    <w:rsid w:val="00117D44"/>
    <w:rsid w:val="00122E30"/>
    <w:rsid w:val="00125497"/>
    <w:rsid w:val="00130C2C"/>
    <w:rsid w:val="0013506F"/>
    <w:rsid w:val="001421A4"/>
    <w:rsid w:val="0014625B"/>
    <w:rsid w:val="00152E4B"/>
    <w:rsid w:val="00156596"/>
    <w:rsid w:val="001567F1"/>
    <w:rsid w:val="00156A89"/>
    <w:rsid w:val="00160713"/>
    <w:rsid w:val="00165138"/>
    <w:rsid w:val="00171976"/>
    <w:rsid w:val="00173F7D"/>
    <w:rsid w:val="00175107"/>
    <w:rsid w:val="001841E9"/>
    <w:rsid w:val="001850C7"/>
    <w:rsid w:val="001A2358"/>
    <w:rsid w:val="001A4069"/>
    <w:rsid w:val="001B4147"/>
    <w:rsid w:val="001B47FE"/>
    <w:rsid w:val="001B6762"/>
    <w:rsid w:val="001D1558"/>
    <w:rsid w:val="001D7063"/>
    <w:rsid w:val="001E1E7D"/>
    <w:rsid w:val="001E58ED"/>
    <w:rsid w:val="00200A72"/>
    <w:rsid w:val="002037BB"/>
    <w:rsid w:val="002114D3"/>
    <w:rsid w:val="00242544"/>
    <w:rsid w:val="0024360D"/>
    <w:rsid w:val="00244D75"/>
    <w:rsid w:val="00257CC4"/>
    <w:rsid w:val="00260497"/>
    <w:rsid w:val="00263C4B"/>
    <w:rsid w:val="00285085"/>
    <w:rsid w:val="0028530B"/>
    <w:rsid w:val="0028629A"/>
    <w:rsid w:val="002956AC"/>
    <w:rsid w:val="00295C9F"/>
    <w:rsid w:val="002A2572"/>
    <w:rsid w:val="002B0533"/>
    <w:rsid w:val="002B1799"/>
    <w:rsid w:val="002B609F"/>
    <w:rsid w:val="002C2980"/>
    <w:rsid w:val="002F53E3"/>
    <w:rsid w:val="002F7801"/>
    <w:rsid w:val="003011CE"/>
    <w:rsid w:val="0030265C"/>
    <w:rsid w:val="00305BD1"/>
    <w:rsid w:val="003152DB"/>
    <w:rsid w:val="0033432E"/>
    <w:rsid w:val="003408D3"/>
    <w:rsid w:val="00340CD1"/>
    <w:rsid w:val="003425BA"/>
    <w:rsid w:val="00355B83"/>
    <w:rsid w:val="00360FDF"/>
    <w:rsid w:val="0036342F"/>
    <w:rsid w:val="00370149"/>
    <w:rsid w:val="00370AD1"/>
    <w:rsid w:val="00380489"/>
    <w:rsid w:val="00381920"/>
    <w:rsid w:val="00384F51"/>
    <w:rsid w:val="003900B6"/>
    <w:rsid w:val="00396B2A"/>
    <w:rsid w:val="003A6AB2"/>
    <w:rsid w:val="003C23B1"/>
    <w:rsid w:val="003C4D33"/>
    <w:rsid w:val="003C4F43"/>
    <w:rsid w:val="003C5D41"/>
    <w:rsid w:val="003C5EFC"/>
    <w:rsid w:val="003D6B8C"/>
    <w:rsid w:val="003F1A54"/>
    <w:rsid w:val="00411D0F"/>
    <w:rsid w:val="00415C9D"/>
    <w:rsid w:val="00415CCC"/>
    <w:rsid w:val="00416188"/>
    <w:rsid w:val="0042179F"/>
    <w:rsid w:val="00430125"/>
    <w:rsid w:val="004311B4"/>
    <w:rsid w:val="00432AA8"/>
    <w:rsid w:val="00436DCE"/>
    <w:rsid w:val="00443E6F"/>
    <w:rsid w:val="00444F4E"/>
    <w:rsid w:val="0046414E"/>
    <w:rsid w:val="00467156"/>
    <w:rsid w:val="004749F7"/>
    <w:rsid w:val="004801A3"/>
    <w:rsid w:val="004850E9"/>
    <w:rsid w:val="00487354"/>
    <w:rsid w:val="00491473"/>
    <w:rsid w:val="00492B30"/>
    <w:rsid w:val="0049410F"/>
    <w:rsid w:val="004A244F"/>
    <w:rsid w:val="004A30BE"/>
    <w:rsid w:val="004A4405"/>
    <w:rsid w:val="004B2FF0"/>
    <w:rsid w:val="004F0689"/>
    <w:rsid w:val="004F2DEC"/>
    <w:rsid w:val="004F3FDF"/>
    <w:rsid w:val="00500E95"/>
    <w:rsid w:val="00501EE6"/>
    <w:rsid w:val="00503CD0"/>
    <w:rsid w:val="0051423C"/>
    <w:rsid w:val="00515A80"/>
    <w:rsid w:val="00516A6F"/>
    <w:rsid w:val="00516D53"/>
    <w:rsid w:val="00526799"/>
    <w:rsid w:val="00530E69"/>
    <w:rsid w:val="00534BAC"/>
    <w:rsid w:val="00541A2F"/>
    <w:rsid w:val="0054345B"/>
    <w:rsid w:val="00545869"/>
    <w:rsid w:val="005460CC"/>
    <w:rsid w:val="005516C7"/>
    <w:rsid w:val="005540CC"/>
    <w:rsid w:val="00554128"/>
    <w:rsid w:val="00554951"/>
    <w:rsid w:val="00557D71"/>
    <w:rsid w:val="00561A23"/>
    <w:rsid w:val="005708EC"/>
    <w:rsid w:val="005853BC"/>
    <w:rsid w:val="00585EF1"/>
    <w:rsid w:val="00591178"/>
    <w:rsid w:val="005943EC"/>
    <w:rsid w:val="005B204B"/>
    <w:rsid w:val="005D4096"/>
    <w:rsid w:val="005E0BF6"/>
    <w:rsid w:val="005E5868"/>
    <w:rsid w:val="005E7466"/>
    <w:rsid w:val="005E760A"/>
    <w:rsid w:val="005F4193"/>
    <w:rsid w:val="00607862"/>
    <w:rsid w:val="00623B46"/>
    <w:rsid w:val="006247C3"/>
    <w:rsid w:val="0063164B"/>
    <w:rsid w:val="0063358B"/>
    <w:rsid w:val="00636501"/>
    <w:rsid w:val="00643C79"/>
    <w:rsid w:val="00644C90"/>
    <w:rsid w:val="00646415"/>
    <w:rsid w:val="00660B90"/>
    <w:rsid w:val="006647E0"/>
    <w:rsid w:val="006700F3"/>
    <w:rsid w:val="0067186D"/>
    <w:rsid w:val="00677096"/>
    <w:rsid w:val="006833AA"/>
    <w:rsid w:val="006A036F"/>
    <w:rsid w:val="006C03E1"/>
    <w:rsid w:val="006C0EE1"/>
    <w:rsid w:val="006C2339"/>
    <w:rsid w:val="006C2D69"/>
    <w:rsid w:val="006C5F14"/>
    <w:rsid w:val="006C7627"/>
    <w:rsid w:val="006D2BFC"/>
    <w:rsid w:val="006E41F6"/>
    <w:rsid w:val="00706CA1"/>
    <w:rsid w:val="0072233F"/>
    <w:rsid w:val="00722FCC"/>
    <w:rsid w:val="00727FC7"/>
    <w:rsid w:val="00731705"/>
    <w:rsid w:val="00734626"/>
    <w:rsid w:val="0074032A"/>
    <w:rsid w:val="00745DF9"/>
    <w:rsid w:val="007475FB"/>
    <w:rsid w:val="00750D56"/>
    <w:rsid w:val="00752681"/>
    <w:rsid w:val="00757E0C"/>
    <w:rsid w:val="007602D1"/>
    <w:rsid w:val="007633EA"/>
    <w:rsid w:val="00766A19"/>
    <w:rsid w:val="00771089"/>
    <w:rsid w:val="00775E66"/>
    <w:rsid w:val="00780920"/>
    <w:rsid w:val="00780D28"/>
    <w:rsid w:val="00780E34"/>
    <w:rsid w:val="007847FC"/>
    <w:rsid w:val="00785AF6"/>
    <w:rsid w:val="007878B4"/>
    <w:rsid w:val="00790BA6"/>
    <w:rsid w:val="007A2E92"/>
    <w:rsid w:val="007A4D5B"/>
    <w:rsid w:val="007B675A"/>
    <w:rsid w:val="007B7E4F"/>
    <w:rsid w:val="007C2ECE"/>
    <w:rsid w:val="007D48CD"/>
    <w:rsid w:val="007E38EA"/>
    <w:rsid w:val="007E3FA1"/>
    <w:rsid w:val="007E62A0"/>
    <w:rsid w:val="0080684A"/>
    <w:rsid w:val="0081284D"/>
    <w:rsid w:val="0082098C"/>
    <w:rsid w:val="00831E26"/>
    <w:rsid w:val="0083209B"/>
    <w:rsid w:val="00835481"/>
    <w:rsid w:val="008429CD"/>
    <w:rsid w:val="00844B1E"/>
    <w:rsid w:val="00846F05"/>
    <w:rsid w:val="008477CF"/>
    <w:rsid w:val="00850DA2"/>
    <w:rsid w:val="008606E4"/>
    <w:rsid w:val="00860953"/>
    <w:rsid w:val="00867075"/>
    <w:rsid w:val="00872AF0"/>
    <w:rsid w:val="0087402D"/>
    <w:rsid w:val="008801BB"/>
    <w:rsid w:val="008861F1"/>
    <w:rsid w:val="00886841"/>
    <w:rsid w:val="0089157E"/>
    <w:rsid w:val="00893274"/>
    <w:rsid w:val="008A446C"/>
    <w:rsid w:val="008B35B5"/>
    <w:rsid w:val="008E3053"/>
    <w:rsid w:val="008E4B4E"/>
    <w:rsid w:val="008E5A43"/>
    <w:rsid w:val="008F5A8E"/>
    <w:rsid w:val="00900195"/>
    <w:rsid w:val="00902C10"/>
    <w:rsid w:val="00913BAF"/>
    <w:rsid w:val="00915961"/>
    <w:rsid w:val="00916F09"/>
    <w:rsid w:val="00921340"/>
    <w:rsid w:val="0092392E"/>
    <w:rsid w:val="009309C5"/>
    <w:rsid w:val="00930EAF"/>
    <w:rsid w:val="0093670B"/>
    <w:rsid w:val="00940F9D"/>
    <w:rsid w:val="009435D3"/>
    <w:rsid w:val="009441BF"/>
    <w:rsid w:val="00947F03"/>
    <w:rsid w:val="00950AEC"/>
    <w:rsid w:val="009552E2"/>
    <w:rsid w:val="0095602A"/>
    <w:rsid w:val="00961B2E"/>
    <w:rsid w:val="00966746"/>
    <w:rsid w:val="00970586"/>
    <w:rsid w:val="00970812"/>
    <w:rsid w:val="00970FF0"/>
    <w:rsid w:val="00971F99"/>
    <w:rsid w:val="00973682"/>
    <w:rsid w:val="009830FA"/>
    <w:rsid w:val="009A535D"/>
    <w:rsid w:val="009A6999"/>
    <w:rsid w:val="009C5CF9"/>
    <w:rsid w:val="009D1020"/>
    <w:rsid w:val="009E1F97"/>
    <w:rsid w:val="009E284B"/>
    <w:rsid w:val="009E2C54"/>
    <w:rsid w:val="009F3386"/>
    <w:rsid w:val="009F7704"/>
    <w:rsid w:val="00A02B26"/>
    <w:rsid w:val="00A03CE1"/>
    <w:rsid w:val="00A0432A"/>
    <w:rsid w:val="00A16D37"/>
    <w:rsid w:val="00A179C9"/>
    <w:rsid w:val="00A25617"/>
    <w:rsid w:val="00A26033"/>
    <w:rsid w:val="00A315D7"/>
    <w:rsid w:val="00A3697E"/>
    <w:rsid w:val="00A433D0"/>
    <w:rsid w:val="00A5706A"/>
    <w:rsid w:val="00A60416"/>
    <w:rsid w:val="00A70EF1"/>
    <w:rsid w:val="00A73F14"/>
    <w:rsid w:val="00A759A9"/>
    <w:rsid w:val="00A8641A"/>
    <w:rsid w:val="00A91FAD"/>
    <w:rsid w:val="00A976D2"/>
    <w:rsid w:val="00AA19E5"/>
    <w:rsid w:val="00AA5086"/>
    <w:rsid w:val="00AB00DB"/>
    <w:rsid w:val="00AB0B92"/>
    <w:rsid w:val="00AB14DE"/>
    <w:rsid w:val="00AB2B89"/>
    <w:rsid w:val="00AB3241"/>
    <w:rsid w:val="00AB3EA9"/>
    <w:rsid w:val="00AB4307"/>
    <w:rsid w:val="00AB5420"/>
    <w:rsid w:val="00AC608D"/>
    <w:rsid w:val="00AC6FB9"/>
    <w:rsid w:val="00AD6CCD"/>
    <w:rsid w:val="00AD79D7"/>
    <w:rsid w:val="00AE0444"/>
    <w:rsid w:val="00AE600A"/>
    <w:rsid w:val="00AF094D"/>
    <w:rsid w:val="00B02B61"/>
    <w:rsid w:val="00B02BB6"/>
    <w:rsid w:val="00B03F10"/>
    <w:rsid w:val="00B15983"/>
    <w:rsid w:val="00B34BA8"/>
    <w:rsid w:val="00B37C21"/>
    <w:rsid w:val="00B408CE"/>
    <w:rsid w:val="00B42570"/>
    <w:rsid w:val="00B60C11"/>
    <w:rsid w:val="00B612FE"/>
    <w:rsid w:val="00B74BF6"/>
    <w:rsid w:val="00B86885"/>
    <w:rsid w:val="00B9069D"/>
    <w:rsid w:val="00B90DFA"/>
    <w:rsid w:val="00B930E9"/>
    <w:rsid w:val="00B950C6"/>
    <w:rsid w:val="00B97A21"/>
    <w:rsid w:val="00BA4FA7"/>
    <w:rsid w:val="00BB0D8A"/>
    <w:rsid w:val="00BB3A1E"/>
    <w:rsid w:val="00BB3FEE"/>
    <w:rsid w:val="00BC4CDD"/>
    <w:rsid w:val="00BC5E3A"/>
    <w:rsid w:val="00BC60E9"/>
    <w:rsid w:val="00BD31A6"/>
    <w:rsid w:val="00BD7CDC"/>
    <w:rsid w:val="00BE3893"/>
    <w:rsid w:val="00BE39AA"/>
    <w:rsid w:val="00BE3BCD"/>
    <w:rsid w:val="00BE4157"/>
    <w:rsid w:val="00BF3FA3"/>
    <w:rsid w:val="00C041A5"/>
    <w:rsid w:val="00C113A2"/>
    <w:rsid w:val="00C11C4C"/>
    <w:rsid w:val="00C13EA5"/>
    <w:rsid w:val="00C3309C"/>
    <w:rsid w:val="00C347A0"/>
    <w:rsid w:val="00C36BD1"/>
    <w:rsid w:val="00C37C40"/>
    <w:rsid w:val="00C408A0"/>
    <w:rsid w:val="00C4345D"/>
    <w:rsid w:val="00C447F1"/>
    <w:rsid w:val="00C47C6F"/>
    <w:rsid w:val="00C506DF"/>
    <w:rsid w:val="00C62846"/>
    <w:rsid w:val="00C711E3"/>
    <w:rsid w:val="00C80758"/>
    <w:rsid w:val="00C819F1"/>
    <w:rsid w:val="00CC1942"/>
    <w:rsid w:val="00CC3CCE"/>
    <w:rsid w:val="00CD1828"/>
    <w:rsid w:val="00D0626F"/>
    <w:rsid w:val="00D2127E"/>
    <w:rsid w:val="00D31CDA"/>
    <w:rsid w:val="00D46FBF"/>
    <w:rsid w:val="00D47307"/>
    <w:rsid w:val="00D5316E"/>
    <w:rsid w:val="00D60C56"/>
    <w:rsid w:val="00D7425F"/>
    <w:rsid w:val="00D744CB"/>
    <w:rsid w:val="00D77039"/>
    <w:rsid w:val="00D77599"/>
    <w:rsid w:val="00D828BC"/>
    <w:rsid w:val="00D9447B"/>
    <w:rsid w:val="00DA1DCE"/>
    <w:rsid w:val="00DB3556"/>
    <w:rsid w:val="00DB6BDE"/>
    <w:rsid w:val="00DD4B55"/>
    <w:rsid w:val="00DE20E1"/>
    <w:rsid w:val="00DE6F60"/>
    <w:rsid w:val="00DF2844"/>
    <w:rsid w:val="00DF439A"/>
    <w:rsid w:val="00E0050C"/>
    <w:rsid w:val="00E008A3"/>
    <w:rsid w:val="00E03BCD"/>
    <w:rsid w:val="00E2004B"/>
    <w:rsid w:val="00E215F1"/>
    <w:rsid w:val="00E30310"/>
    <w:rsid w:val="00E40A15"/>
    <w:rsid w:val="00E44706"/>
    <w:rsid w:val="00E557EF"/>
    <w:rsid w:val="00E74C73"/>
    <w:rsid w:val="00E75453"/>
    <w:rsid w:val="00E77C98"/>
    <w:rsid w:val="00E9237C"/>
    <w:rsid w:val="00E926D1"/>
    <w:rsid w:val="00E92EB1"/>
    <w:rsid w:val="00EA1038"/>
    <w:rsid w:val="00EA1E28"/>
    <w:rsid w:val="00EA78DA"/>
    <w:rsid w:val="00EB17CD"/>
    <w:rsid w:val="00EB57E3"/>
    <w:rsid w:val="00EC3C20"/>
    <w:rsid w:val="00EC4BFE"/>
    <w:rsid w:val="00ED510E"/>
    <w:rsid w:val="00EE0E6F"/>
    <w:rsid w:val="00EE3A99"/>
    <w:rsid w:val="00EE44EF"/>
    <w:rsid w:val="00EE5F4C"/>
    <w:rsid w:val="00EE6CCC"/>
    <w:rsid w:val="00EF3CF4"/>
    <w:rsid w:val="00F03BF1"/>
    <w:rsid w:val="00F14E5E"/>
    <w:rsid w:val="00F220CB"/>
    <w:rsid w:val="00F32732"/>
    <w:rsid w:val="00F35338"/>
    <w:rsid w:val="00F3767D"/>
    <w:rsid w:val="00F40148"/>
    <w:rsid w:val="00F42089"/>
    <w:rsid w:val="00F43A15"/>
    <w:rsid w:val="00F62D7A"/>
    <w:rsid w:val="00F63313"/>
    <w:rsid w:val="00F64187"/>
    <w:rsid w:val="00F7360F"/>
    <w:rsid w:val="00F7389A"/>
    <w:rsid w:val="00F73B17"/>
    <w:rsid w:val="00F76012"/>
    <w:rsid w:val="00F80F9C"/>
    <w:rsid w:val="00F8721A"/>
    <w:rsid w:val="00F97865"/>
    <w:rsid w:val="00FA1572"/>
    <w:rsid w:val="00FB08EC"/>
    <w:rsid w:val="00FB12C6"/>
    <w:rsid w:val="00FB1372"/>
    <w:rsid w:val="00FB44DD"/>
    <w:rsid w:val="00FC1059"/>
    <w:rsid w:val="00FC1EF6"/>
    <w:rsid w:val="00FC509D"/>
    <w:rsid w:val="00FC6D77"/>
    <w:rsid w:val="00FC745A"/>
    <w:rsid w:val="00FD30D8"/>
    <w:rsid w:val="00FE167B"/>
    <w:rsid w:val="00FE6CD1"/>
    <w:rsid w:val="00FF16F4"/>
    <w:rsid w:val="00FF2BDE"/>
    <w:rsid w:val="00FF735E"/>
    <w:rsid w:val="010E0AE7"/>
    <w:rsid w:val="01BB5229"/>
    <w:rsid w:val="01D02052"/>
    <w:rsid w:val="02A96270"/>
    <w:rsid w:val="02C67BA4"/>
    <w:rsid w:val="032B72FE"/>
    <w:rsid w:val="03623A36"/>
    <w:rsid w:val="03B4680A"/>
    <w:rsid w:val="04BF1C02"/>
    <w:rsid w:val="04F45416"/>
    <w:rsid w:val="05113039"/>
    <w:rsid w:val="054F5EBC"/>
    <w:rsid w:val="05737A49"/>
    <w:rsid w:val="05B103D8"/>
    <w:rsid w:val="05B40E45"/>
    <w:rsid w:val="06DB46AD"/>
    <w:rsid w:val="07AC659B"/>
    <w:rsid w:val="07B85FB1"/>
    <w:rsid w:val="07E71F8A"/>
    <w:rsid w:val="0828574C"/>
    <w:rsid w:val="087A0F70"/>
    <w:rsid w:val="08805273"/>
    <w:rsid w:val="08E14650"/>
    <w:rsid w:val="0A4A587A"/>
    <w:rsid w:val="0A6F64F4"/>
    <w:rsid w:val="0AF344E1"/>
    <w:rsid w:val="0BA352FE"/>
    <w:rsid w:val="0BFF729B"/>
    <w:rsid w:val="0C114183"/>
    <w:rsid w:val="0C303B01"/>
    <w:rsid w:val="0CFF7B5C"/>
    <w:rsid w:val="0D573B88"/>
    <w:rsid w:val="0E0B47C9"/>
    <w:rsid w:val="0E8831FC"/>
    <w:rsid w:val="0EB83A78"/>
    <w:rsid w:val="0F8045CC"/>
    <w:rsid w:val="10306F96"/>
    <w:rsid w:val="10366ABB"/>
    <w:rsid w:val="10AD3516"/>
    <w:rsid w:val="10C42024"/>
    <w:rsid w:val="11457119"/>
    <w:rsid w:val="114B3960"/>
    <w:rsid w:val="114F7F97"/>
    <w:rsid w:val="11D64215"/>
    <w:rsid w:val="1284742C"/>
    <w:rsid w:val="13E729A1"/>
    <w:rsid w:val="13F82952"/>
    <w:rsid w:val="1422213D"/>
    <w:rsid w:val="142C5BA1"/>
    <w:rsid w:val="143A09E9"/>
    <w:rsid w:val="145742F4"/>
    <w:rsid w:val="146E5D7A"/>
    <w:rsid w:val="14902DA1"/>
    <w:rsid w:val="14A2553F"/>
    <w:rsid w:val="15F347B3"/>
    <w:rsid w:val="16002AE1"/>
    <w:rsid w:val="16131283"/>
    <w:rsid w:val="16C644E8"/>
    <w:rsid w:val="16F245C5"/>
    <w:rsid w:val="173F4BF3"/>
    <w:rsid w:val="177B30C1"/>
    <w:rsid w:val="178902ED"/>
    <w:rsid w:val="17C67AF5"/>
    <w:rsid w:val="19B93F90"/>
    <w:rsid w:val="1A5342E4"/>
    <w:rsid w:val="1ADF7A0C"/>
    <w:rsid w:val="1B8B54DB"/>
    <w:rsid w:val="1BE614F8"/>
    <w:rsid w:val="1BF87CC4"/>
    <w:rsid w:val="1C250230"/>
    <w:rsid w:val="1C556DAA"/>
    <w:rsid w:val="1CAD63E2"/>
    <w:rsid w:val="1D10672A"/>
    <w:rsid w:val="1D9D6AAF"/>
    <w:rsid w:val="1ED32360"/>
    <w:rsid w:val="1EE14063"/>
    <w:rsid w:val="1F690AE6"/>
    <w:rsid w:val="1FC23E94"/>
    <w:rsid w:val="1FF13588"/>
    <w:rsid w:val="1FF853EE"/>
    <w:rsid w:val="20165CED"/>
    <w:rsid w:val="201A6E3B"/>
    <w:rsid w:val="20722C3B"/>
    <w:rsid w:val="20C16910"/>
    <w:rsid w:val="20E92EC4"/>
    <w:rsid w:val="20EA6D61"/>
    <w:rsid w:val="2169229A"/>
    <w:rsid w:val="2179397F"/>
    <w:rsid w:val="21952323"/>
    <w:rsid w:val="224512DF"/>
    <w:rsid w:val="226B2863"/>
    <w:rsid w:val="234F7BB4"/>
    <w:rsid w:val="246F0D79"/>
    <w:rsid w:val="24D561D0"/>
    <w:rsid w:val="25021051"/>
    <w:rsid w:val="25096A88"/>
    <w:rsid w:val="25214078"/>
    <w:rsid w:val="25EE76FF"/>
    <w:rsid w:val="26172E9E"/>
    <w:rsid w:val="26924756"/>
    <w:rsid w:val="275525FD"/>
    <w:rsid w:val="276B0DFC"/>
    <w:rsid w:val="27AA47DF"/>
    <w:rsid w:val="285B2524"/>
    <w:rsid w:val="293B308F"/>
    <w:rsid w:val="299708B3"/>
    <w:rsid w:val="2A310154"/>
    <w:rsid w:val="2A81661D"/>
    <w:rsid w:val="2AFD73C3"/>
    <w:rsid w:val="2B83675B"/>
    <w:rsid w:val="2C6A737F"/>
    <w:rsid w:val="2C855D15"/>
    <w:rsid w:val="2D64310C"/>
    <w:rsid w:val="2DCF0F58"/>
    <w:rsid w:val="2E8157DC"/>
    <w:rsid w:val="2EB74DCD"/>
    <w:rsid w:val="2F197F9C"/>
    <w:rsid w:val="2F4744A7"/>
    <w:rsid w:val="2FE04785"/>
    <w:rsid w:val="307A24E3"/>
    <w:rsid w:val="3094400B"/>
    <w:rsid w:val="30B95C2B"/>
    <w:rsid w:val="30BD4E03"/>
    <w:rsid w:val="31A412FD"/>
    <w:rsid w:val="31D43D88"/>
    <w:rsid w:val="32226D70"/>
    <w:rsid w:val="32862BFB"/>
    <w:rsid w:val="34D27AE4"/>
    <w:rsid w:val="35143766"/>
    <w:rsid w:val="352D79F5"/>
    <w:rsid w:val="35333C86"/>
    <w:rsid w:val="35413476"/>
    <w:rsid w:val="3551312C"/>
    <w:rsid w:val="35526CC3"/>
    <w:rsid w:val="35611D17"/>
    <w:rsid w:val="36036FE0"/>
    <w:rsid w:val="363976F7"/>
    <w:rsid w:val="365B7EC0"/>
    <w:rsid w:val="37123819"/>
    <w:rsid w:val="379013CA"/>
    <w:rsid w:val="37BE2AFE"/>
    <w:rsid w:val="38CC0EE9"/>
    <w:rsid w:val="38CF3B09"/>
    <w:rsid w:val="38F11396"/>
    <w:rsid w:val="392F4087"/>
    <w:rsid w:val="39AC4D26"/>
    <w:rsid w:val="39AD6474"/>
    <w:rsid w:val="39E4384F"/>
    <w:rsid w:val="3A021B0A"/>
    <w:rsid w:val="3A1A2987"/>
    <w:rsid w:val="3A4A6320"/>
    <w:rsid w:val="3A591371"/>
    <w:rsid w:val="3B3D397E"/>
    <w:rsid w:val="3B492FEA"/>
    <w:rsid w:val="3B4D0352"/>
    <w:rsid w:val="3C896390"/>
    <w:rsid w:val="3D25588D"/>
    <w:rsid w:val="3D8B35ED"/>
    <w:rsid w:val="3E086FDF"/>
    <w:rsid w:val="3F503394"/>
    <w:rsid w:val="3F536256"/>
    <w:rsid w:val="4013609D"/>
    <w:rsid w:val="40897004"/>
    <w:rsid w:val="40DE01D3"/>
    <w:rsid w:val="41120B50"/>
    <w:rsid w:val="423B65D8"/>
    <w:rsid w:val="424622E4"/>
    <w:rsid w:val="43B202A6"/>
    <w:rsid w:val="43F81E79"/>
    <w:rsid w:val="459825AF"/>
    <w:rsid w:val="47404F1B"/>
    <w:rsid w:val="477A6333"/>
    <w:rsid w:val="47E66258"/>
    <w:rsid w:val="48016622"/>
    <w:rsid w:val="485477CC"/>
    <w:rsid w:val="486A50DB"/>
    <w:rsid w:val="48853CC3"/>
    <w:rsid w:val="48991233"/>
    <w:rsid w:val="4A80586E"/>
    <w:rsid w:val="4AD24777"/>
    <w:rsid w:val="4B6155D4"/>
    <w:rsid w:val="4BAF2500"/>
    <w:rsid w:val="4BBE2FC3"/>
    <w:rsid w:val="4C5F2E23"/>
    <w:rsid w:val="4C7F69A7"/>
    <w:rsid w:val="4CEF05C2"/>
    <w:rsid w:val="4D0F61C4"/>
    <w:rsid w:val="4D59270C"/>
    <w:rsid w:val="4E135294"/>
    <w:rsid w:val="4E2D7B0E"/>
    <w:rsid w:val="4E3C2C47"/>
    <w:rsid w:val="4EDE3AE7"/>
    <w:rsid w:val="4EDF7CFB"/>
    <w:rsid w:val="4EE97560"/>
    <w:rsid w:val="4EF120B3"/>
    <w:rsid w:val="506728BF"/>
    <w:rsid w:val="511C6027"/>
    <w:rsid w:val="516B61BA"/>
    <w:rsid w:val="519B4159"/>
    <w:rsid w:val="51A13983"/>
    <w:rsid w:val="51E04FA9"/>
    <w:rsid w:val="51F85062"/>
    <w:rsid w:val="522F7385"/>
    <w:rsid w:val="523538C6"/>
    <w:rsid w:val="52533DAB"/>
    <w:rsid w:val="541B4F3B"/>
    <w:rsid w:val="54285C9D"/>
    <w:rsid w:val="543071D9"/>
    <w:rsid w:val="54390279"/>
    <w:rsid w:val="56F12015"/>
    <w:rsid w:val="57060FAC"/>
    <w:rsid w:val="570A1037"/>
    <w:rsid w:val="574E237D"/>
    <w:rsid w:val="5827693E"/>
    <w:rsid w:val="582C3A1A"/>
    <w:rsid w:val="58992335"/>
    <w:rsid w:val="58A832CD"/>
    <w:rsid w:val="58D73968"/>
    <w:rsid w:val="58E1624D"/>
    <w:rsid w:val="5A544D62"/>
    <w:rsid w:val="5ACB4F54"/>
    <w:rsid w:val="5B0371F6"/>
    <w:rsid w:val="5B3A7BC4"/>
    <w:rsid w:val="5B6A23D1"/>
    <w:rsid w:val="5C2E6C58"/>
    <w:rsid w:val="5C4314AF"/>
    <w:rsid w:val="5D0F5116"/>
    <w:rsid w:val="5D42686F"/>
    <w:rsid w:val="5D5D6384"/>
    <w:rsid w:val="5D642B7E"/>
    <w:rsid w:val="5DB00754"/>
    <w:rsid w:val="5DB66F8B"/>
    <w:rsid w:val="5DBF7578"/>
    <w:rsid w:val="5EEE6EE0"/>
    <w:rsid w:val="5F4263D0"/>
    <w:rsid w:val="5F78415B"/>
    <w:rsid w:val="5FAF7C60"/>
    <w:rsid w:val="5FB5016C"/>
    <w:rsid w:val="5FB8501D"/>
    <w:rsid w:val="5FC6785B"/>
    <w:rsid w:val="5FD905E6"/>
    <w:rsid w:val="600C32B1"/>
    <w:rsid w:val="600C6C0B"/>
    <w:rsid w:val="60DD5F31"/>
    <w:rsid w:val="60E806EB"/>
    <w:rsid w:val="611E7302"/>
    <w:rsid w:val="61E810F3"/>
    <w:rsid w:val="62080FDF"/>
    <w:rsid w:val="62817380"/>
    <w:rsid w:val="63240BBF"/>
    <w:rsid w:val="63D01E98"/>
    <w:rsid w:val="63D07143"/>
    <w:rsid w:val="63E156C9"/>
    <w:rsid w:val="64276A46"/>
    <w:rsid w:val="644368BB"/>
    <w:rsid w:val="6457030F"/>
    <w:rsid w:val="64DA3CAA"/>
    <w:rsid w:val="65AE1CDB"/>
    <w:rsid w:val="66216657"/>
    <w:rsid w:val="67485B70"/>
    <w:rsid w:val="679C2918"/>
    <w:rsid w:val="68880C22"/>
    <w:rsid w:val="688E4658"/>
    <w:rsid w:val="689630DA"/>
    <w:rsid w:val="68CA0610"/>
    <w:rsid w:val="6A3A02A4"/>
    <w:rsid w:val="6AD677EB"/>
    <w:rsid w:val="6AEB5EA4"/>
    <w:rsid w:val="6C166226"/>
    <w:rsid w:val="6C844C00"/>
    <w:rsid w:val="6C9B4517"/>
    <w:rsid w:val="6CFB37CF"/>
    <w:rsid w:val="6D3773AE"/>
    <w:rsid w:val="6D3B2F45"/>
    <w:rsid w:val="6D4F42A6"/>
    <w:rsid w:val="6DD26688"/>
    <w:rsid w:val="6E080A13"/>
    <w:rsid w:val="6E811EAE"/>
    <w:rsid w:val="6ECD1832"/>
    <w:rsid w:val="6F806E0F"/>
    <w:rsid w:val="700A56A3"/>
    <w:rsid w:val="719E6C6B"/>
    <w:rsid w:val="71E66DDB"/>
    <w:rsid w:val="72017133"/>
    <w:rsid w:val="72165DE1"/>
    <w:rsid w:val="73407C41"/>
    <w:rsid w:val="737A55E7"/>
    <w:rsid w:val="73D01D99"/>
    <w:rsid w:val="73FD3A58"/>
    <w:rsid w:val="74343222"/>
    <w:rsid w:val="74575C64"/>
    <w:rsid w:val="74646ECB"/>
    <w:rsid w:val="74B94727"/>
    <w:rsid w:val="74CE346F"/>
    <w:rsid w:val="74CF4CF9"/>
    <w:rsid w:val="75385D85"/>
    <w:rsid w:val="76000147"/>
    <w:rsid w:val="764222BD"/>
    <w:rsid w:val="76A0457E"/>
    <w:rsid w:val="76D1673E"/>
    <w:rsid w:val="76F26C14"/>
    <w:rsid w:val="773C3A07"/>
    <w:rsid w:val="77F0563E"/>
    <w:rsid w:val="78106856"/>
    <w:rsid w:val="78ED1D2A"/>
    <w:rsid w:val="79AB5202"/>
    <w:rsid w:val="7A102B3D"/>
    <w:rsid w:val="7A505398"/>
    <w:rsid w:val="7A5E5A58"/>
    <w:rsid w:val="7AD74FC0"/>
    <w:rsid w:val="7B3A7C36"/>
    <w:rsid w:val="7B5A7F17"/>
    <w:rsid w:val="7BB17113"/>
    <w:rsid w:val="7BC240F9"/>
    <w:rsid w:val="7BD00C6D"/>
    <w:rsid w:val="7BD62AB9"/>
    <w:rsid w:val="7C742777"/>
    <w:rsid w:val="7C8B583D"/>
    <w:rsid w:val="7D6679FD"/>
    <w:rsid w:val="7DD27EB7"/>
    <w:rsid w:val="7F0F5AB9"/>
    <w:rsid w:val="7F2F5919"/>
    <w:rsid w:val="7F7459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0"/>
    <w:pPr>
      <w:keepNext/>
      <w:keepLines/>
      <w:spacing w:before="260" w:after="260" w:line="416" w:lineRule="auto"/>
      <w:outlineLvl w:val="1"/>
    </w:pPr>
    <w:rPr>
      <w:rFonts w:ascii="Arial" w:hAnsi="Arial" w:eastAsia="黑体" w:cs="Times New Roman"/>
      <w:b/>
      <w:bCs/>
      <w:kern w:val="0"/>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3"/>
    <w:basedOn w:val="1"/>
    <w:link w:val="15"/>
    <w:qFormat/>
    <w:uiPriority w:val="0"/>
    <w:rPr>
      <w:rFonts w:ascii="宋体" w:hAnsi="Times New Roman" w:eastAsia="宋体" w:cs="Times New Roman"/>
      <w:kern w:val="0"/>
      <w:sz w:val="24"/>
      <w:szCs w:val="20"/>
    </w:rPr>
  </w:style>
  <w:style w:type="paragraph" w:styleId="6">
    <w:name w:val="Balloon Text"/>
    <w:basedOn w:val="1"/>
    <w:link w:val="1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unhideWhenUsed/>
    <w:qFormat/>
    <w:uiPriority w:val="99"/>
    <w:rPr>
      <w:color w:val="0563C1" w:themeColor="hyperlink"/>
      <w:u w:val="single"/>
    </w:rPr>
  </w:style>
  <w:style w:type="character" w:customStyle="1" w:styleId="14">
    <w:name w:val="批注框文本 Char"/>
    <w:basedOn w:val="11"/>
    <w:link w:val="6"/>
    <w:semiHidden/>
    <w:qFormat/>
    <w:uiPriority w:val="99"/>
    <w:rPr>
      <w:sz w:val="18"/>
      <w:szCs w:val="18"/>
    </w:rPr>
  </w:style>
  <w:style w:type="character" w:customStyle="1" w:styleId="15">
    <w:name w:val="正文文本 3 Char"/>
    <w:basedOn w:val="11"/>
    <w:link w:val="5"/>
    <w:qFormat/>
    <w:uiPriority w:val="0"/>
    <w:rPr>
      <w:rFonts w:ascii="宋体" w:hAnsi="Times New Roman" w:eastAsia="宋体" w:cs="Times New Roman"/>
      <w:kern w:val="0"/>
      <w:sz w:val="24"/>
      <w:szCs w:val="20"/>
    </w:rPr>
  </w:style>
  <w:style w:type="paragraph" w:styleId="16">
    <w:name w:val="List Paragraph"/>
    <w:basedOn w:val="1"/>
    <w:qFormat/>
    <w:uiPriority w:val="34"/>
    <w:pPr>
      <w:ind w:firstLine="420" w:firstLineChars="200"/>
    </w:pPr>
  </w:style>
  <w:style w:type="character" w:customStyle="1" w:styleId="17">
    <w:name w:val="标题 2 Char"/>
    <w:basedOn w:val="11"/>
    <w:link w:val="3"/>
    <w:qFormat/>
    <w:uiPriority w:val="0"/>
    <w:rPr>
      <w:rFonts w:ascii="Arial" w:hAnsi="Arial" w:eastAsia="黑体" w:cs="Times New Roman"/>
      <w:b/>
      <w:bCs/>
      <w:kern w:val="0"/>
      <w:sz w:val="32"/>
      <w:szCs w:val="32"/>
    </w:rPr>
  </w:style>
  <w:style w:type="character" w:customStyle="1" w:styleId="18">
    <w:name w:val="页眉 Char"/>
    <w:basedOn w:val="11"/>
    <w:link w:val="8"/>
    <w:qFormat/>
    <w:uiPriority w:val="99"/>
    <w:rPr>
      <w:sz w:val="18"/>
      <w:szCs w:val="18"/>
    </w:rPr>
  </w:style>
  <w:style w:type="character" w:customStyle="1" w:styleId="19">
    <w:name w:val="页脚 Char"/>
    <w:basedOn w:val="11"/>
    <w:link w:val="7"/>
    <w:qFormat/>
    <w:uiPriority w:val="99"/>
    <w:rPr>
      <w:sz w:val="18"/>
      <w:szCs w:val="18"/>
    </w:rPr>
  </w:style>
  <w:style w:type="paragraph" w:customStyle="1" w:styleId="20">
    <w:name w:val="正文 含缩进"/>
    <w:basedOn w:val="1"/>
    <w:qFormat/>
    <w:uiPriority w:val="0"/>
    <w:pPr>
      <w:spacing w:line="360" w:lineRule="auto"/>
      <w:ind w:firstLine="424" w:firstLineChars="202"/>
      <w:jc w:val="left"/>
    </w:pPr>
    <w:rPr>
      <w:rFonts w:ascii="Times New Roman" w:hAnsi="Times New Roman" w:eastAsia="宋体" w:cs="Times New Roman"/>
      <w:kern w:val="0"/>
      <w:sz w:val="20"/>
      <w:szCs w:val="20"/>
    </w:rPr>
  </w:style>
  <w:style w:type="character" w:customStyle="1" w:styleId="21">
    <w:name w:val="标题 3 Char"/>
    <w:basedOn w:val="11"/>
    <w:link w:val="4"/>
    <w:semiHidden/>
    <w:qFormat/>
    <w:uiPriority w:val="9"/>
    <w:rPr>
      <w:b/>
      <w:bCs/>
      <w:sz w:val="32"/>
      <w:szCs w:val="32"/>
    </w:rPr>
  </w:style>
  <w:style w:type="character" w:customStyle="1" w:styleId="22">
    <w:name w:val="标题 1 Char"/>
    <w:basedOn w:val="11"/>
    <w:qFormat/>
    <w:uiPriority w:val="9"/>
    <w:rPr>
      <w:b/>
      <w:bCs/>
      <w:kern w:val="44"/>
      <w:sz w:val="44"/>
      <w:szCs w:val="44"/>
    </w:rPr>
  </w:style>
  <w:style w:type="character" w:customStyle="1" w:styleId="23">
    <w:name w:val="标题 1 Char1"/>
    <w:basedOn w:val="11"/>
    <w:link w:val="2"/>
    <w:qFormat/>
    <w:uiPriority w:val="9"/>
    <w:rPr>
      <w:b/>
      <w:bCs/>
      <w:kern w:val="44"/>
      <w:sz w:val="44"/>
      <w:szCs w:val="44"/>
    </w:rPr>
  </w:style>
  <w:style w:type="character" w:customStyle="1" w:styleId="24">
    <w:name w:val="font41"/>
    <w:basedOn w:val="11"/>
    <w:qFormat/>
    <w:uiPriority w:val="0"/>
    <w:rPr>
      <w:rFonts w:hint="eastAsia" w:ascii="宋体" w:hAnsi="宋体" w:eastAsia="宋体" w:cs="宋体"/>
      <w:color w:val="000000"/>
      <w:sz w:val="21"/>
      <w:szCs w:val="21"/>
      <w:u w:val="none"/>
    </w:rPr>
  </w:style>
  <w:style w:type="character" w:customStyle="1" w:styleId="25">
    <w:name w:val="font71"/>
    <w:basedOn w:val="11"/>
    <w:qFormat/>
    <w:uiPriority w:val="0"/>
    <w:rPr>
      <w:rFonts w:hint="eastAsia" w:ascii="宋体" w:hAnsi="宋体" w:eastAsia="宋体" w:cs="宋体"/>
      <w:b/>
      <w:color w:val="000000"/>
      <w:sz w:val="21"/>
      <w:szCs w:val="21"/>
      <w:u w:val="none"/>
    </w:rPr>
  </w:style>
  <w:style w:type="character" w:customStyle="1" w:styleId="26">
    <w:name w:val="font81"/>
    <w:basedOn w:val="11"/>
    <w:qFormat/>
    <w:uiPriority w:val="0"/>
    <w:rPr>
      <w:rFonts w:hint="eastAsia" w:ascii="宋体" w:hAnsi="宋体" w:eastAsia="宋体" w:cs="宋体"/>
      <w:color w:val="000000"/>
      <w:sz w:val="20"/>
      <w:szCs w:val="20"/>
      <w:u w:val="single"/>
    </w:rPr>
  </w:style>
  <w:style w:type="character" w:customStyle="1" w:styleId="27">
    <w:name w:val="font01"/>
    <w:basedOn w:val="11"/>
    <w:qFormat/>
    <w:uiPriority w:val="0"/>
    <w:rPr>
      <w:rFonts w:hint="eastAsia" w:ascii="宋体" w:hAnsi="宋体" w:eastAsia="宋体" w:cs="宋体"/>
      <w:color w:val="000000"/>
      <w:sz w:val="20"/>
      <w:szCs w:val="20"/>
      <w:u w:val="none"/>
    </w:rPr>
  </w:style>
  <w:style w:type="character" w:customStyle="1" w:styleId="28">
    <w:name w:val="font11"/>
    <w:basedOn w:val="11"/>
    <w:qFormat/>
    <w:uiPriority w:val="0"/>
    <w:rPr>
      <w:rFonts w:hint="eastAsia" w:ascii="宋体" w:hAnsi="宋体" w:eastAsia="宋体" w:cs="宋体"/>
      <w:color w:val="000000"/>
      <w:sz w:val="22"/>
      <w:szCs w:val="22"/>
      <w:u w:val="none"/>
    </w:rPr>
  </w:style>
  <w:style w:type="character" w:customStyle="1" w:styleId="29">
    <w:name w:val="font21"/>
    <w:basedOn w:val="11"/>
    <w:qFormat/>
    <w:uiPriority w:val="0"/>
    <w:rPr>
      <w:rFonts w:hint="eastAsia" w:ascii="宋体" w:hAnsi="宋体" w:eastAsia="宋体" w:cs="宋体"/>
      <w:color w:val="C00000"/>
      <w:sz w:val="24"/>
      <w:szCs w:val="24"/>
      <w:u w:val="none"/>
    </w:rPr>
  </w:style>
  <w:style w:type="character" w:customStyle="1" w:styleId="30">
    <w:name w:val="font31"/>
    <w:basedOn w:val="11"/>
    <w:qFormat/>
    <w:uiPriority w:val="0"/>
    <w:rPr>
      <w:rFonts w:hint="default" w:ascii="Times New Roman" w:hAnsi="Times New Roman" w:cs="Times New Roman"/>
      <w:color w:val="C00000"/>
      <w:sz w:val="24"/>
      <w:szCs w:val="24"/>
      <w:u w:val="none"/>
    </w:rPr>
  </w:style>
  <w:style w:type="paragraph" w:customStyle="1" w:styleId="3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2">
    <w:name w:val="列出段落1"/>
    <w:basedOn w:val="1"/>
    <w:qFormat/>
    <w:uiPriority w:val="0"/>
    <w:pPr>
      <w:ind w:firstLine="420" w:firstLineChars="200"/>
    </w:pPr>
    <w:rPr>
      <w:rFonts w:ascii="Calibri" w:hAnsi="Calibri" w:eastAsia="宋体" w:cs="Times New Roman"/>
    </w:rPr>
  </w:style>
  <w:style w:type="paragraph" w:customStyle="1" w:styleId="3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样式2"/>
    <w:basedOn w:val="1"/>
    <w:qFormat/>
    <w:uiPriority w:val="0"/>
    <w:pPr>
      <w:wordWrap w:val="0"/>
      <w:topLinePunct/>
      <w:adjustRightInd w:val="0"/>
      <w:snapToGrid w:val="0"/>
      <w:spacing w:beforeLines="50" w:line="276" w:lineRule="auto"/>
      <w:ind w:left="794" w:firstLine="600" w:firstLineChars="200"/>
      <w:jc w:val="left"/>
      <w:textAlignment w:val="center"/>
      <w:outlineLvl w:val="1"/>
    </w:pPr>
    <w:rPr>
      <w:rFonts w:ascii="宋体" w:hAnsi="宋体"/>
      <w:sz w:val="30"/>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380917-7472-48F9-92F4-6EA6CEC86D6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25</Pages>
  <Words>7643</Words>
  <Characters>8278</Characters>
  <Lines>90</Lines>
  <Paragraphs>25</Paragraphs>
  <TotalTime>29</TotalTime>
  <ScaleCrop>false</ScaleCrop>
  <LinksUpToDate>false</LinksUpToDate>
  <CharactersWithSpaces>8358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2021-08-27T03:32:00Z</dcterms:created>
  <dc:creator>Windows User</dc:creator>
  <cp:lastModifiedBy>帅虎</cp:lastModifiedBy>
  <cp:lastPrinted>2026-01-29T01:17:00Z</cp:lastPrinted>
  <dcterms:modified xsi:type="dcterms:W3CDTF">2026-01-29T05:52:59Z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eyJoZGlkIjoiZWY0Mzg5NTQyYmVjYjMwY2Y0ZmVmZjlkMzA3YTdjNmMiLCJ1c2VySWQiOiI3NzE5ODgzNDUifQ==</vt:lpwstr>
  </property>
  <property fmtid="{D5CDD505-2E9C-101B-9397-08002B2CF9AE}" pid="4" name="ICV">
    <vt:lpwstr>80192FAB8D954ED68F4052DECC5951CA_13</vt:lpwstr>
  </property>
</Properties>
</file>